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A64DD1" w14:textId="77777777" w:rsidR="00B916B7" w:rsidRPr="00B916B7" w:rsidRDefault="00B916B7" w:rsidP="00B916B7">
      <w:pPr>
        <w:rPr>
          <w:b/>
          <w:bCs/>
        </w:rPr>
      </w:pPr>
      <w:r w:rsidRPr="00B916B7">
        <w:rPr>
          <w:b/>
          <w:bCs/>
        </w:rPr>
        <w:t xml:space="preserve">The UN Convention on the Elimination of All Forms of Discrimination against Women </w:t>
      </w:r>
    </w:p>
    <w:p w14:paraId="24C095B9" w14:textId="77777777" w:rsidR="00C52373" w:rsidRPr="00C52373" w:rsidRDefault="00C52373" w:rsidP="00C52373">
      <w:pPr>
        <w:spacing w:before="100" w:beforeAutospacing="1" w:after="100" w:afterAutospacing="1"/>
        <w:outlineLvl w:val="1"/>
        <w:rPr>
          <w:b/>
          <w:bCs/>
          <w:sz w:val="30"/>
          <w:szCs w:val="30"/>
        </w:rPr>
      </w:pPr>
      <w:r w:rsidRPr="00C52373">
        <w:rPr>
          <w:b/>
          <w:bCs/>
          <w:sz w:val="30"/>
          <w:szCs w:val="30"/>
        </w:rPr>
        <w:t>Article 5: Cultural and Social Patterns of Behavior</w:t>
      </w:r>
    </w:p>
    <w:p w14:paraId="0B3C8EBC" w14:textId="77777777" w:rsidR="00C52373" w:rsidRPr="00C52373" w:rsidRDefault="00C52373" w:rsidP="00C52373">
      <w:r w:rsidRPr="00C52373">
        <w:t>This is the primary article used by the CEDAW Committee to argue that states must counter gender stereotypes in public discourse, media, and education.</w:t>
      </w:r>
    </w:p>
    <w:p w14:paraId="2D3C8270" w14:textId="77777777" w:rsidR="00C52373" w:rsidRPr="00C52373" w:rsidRDefault="00C52373" w:rsidP="00C52373">
      <w:r w:rsidRPr="00C52373">
        <w:rPr>
          <w:b/>
          <w:bCs/>
        </w:rPr>
        <w:t>States Parties shall take all appropriate measures:</w:t>
      </w:r>
    </w:p>
    <w:p w14:paraId="0564C8C0" w14:textId="77777777" w:rsidR="00C52373" w:rsidRPr="00C52373" w:rsidRDefault="00C52373" w:rsidP="00C52373">
      <w:r w:rsidRPr="00C52373">
        <w:rPr>
          <w:b/>
          <w:bCs/>
        </w:rPr>
        <w:t>(a)</w:t>
      </w:r>
      <w:r w:rsidRPr="00C52373">
        <w:t xml:space="preserve"> To modify the social and cultural patterns of conduct of men and women, with a view to achieving the elimination of prejudices and customary and all other practices which are based on the idea of the inferiority or the superiority of either of the sexes or on stereotyped roles for men and women;</w:t>
      </w:r>
    </w:p>
    <w:p w14:paraId="06761ADC" w14:textId="77777777" w:rsidR="00C52373" w:rsidRPr="00C52373" w:rsidRDefault="00C52373" w:rsidP="00C52373">
      <w:r w:rsidRPr="00C52373">
        <w:rPr>
          <w:b/>
          <w:bCs/>
        </w:rPr>
        <w:t>(b)</w:t>
      </w:r>
      <w:r w:rsidRPr="00C52373">
        <w:t xml:space="preserve"> To ensure that family education includes a proper understanding of maternity as a social function and the recognition of the common responsibility of men and women in the upbringing and development of their children, it being understood that the interest of the children is the primordial consideration in all cases.</w:t>
      </w:r>
    </w:p>
    <w:p w14:paraId="7BF12ABB" w14:textId="77777777" w:rsidR="00C52373" w:rsidRPr="00C52373" w:rsidRDefault="00C52373" w:rsidP="00C52373">
      <w:pPr>
        <w:spacing w:before="100" w:beforeAutospacing="1" w:after="100" w:afterAutospacing="1"/>
        <w:outlineLvl w:val="1"/>
        <w:rPr>
          <w:b/>
          <w:bCs/>
          <w:sz w:val="30"/>
          <w:szCs w:val="30"/>
        </w:rPr>
      </w:pPr>
      <w:r w:rsidRPr="00C52373">
        <w:rPr>
          <w:b/>
          <w:bCs/>
          <w:sz w:val="30"/>
          <w:szCs w:val="30"/>
        </w:rPr>
        <w:t>Article 7: Political and Public Life</w:t>
      </w:r>
    </w:p>
    <w:p w14:paraId="6E014CB4" w14:textId="77777777" w:rsidR="00C52373" w:rsidRPr="00C52373" w:rsidRDefault="00C52373" w:rsidP="00C52373">
      <w:r w:rsidRPr="00C52373">
        <w:t>This article guarantees women's right to voice their opinions in the public sphere, run for office, and participate in civic organizations without facing silencing tactics or harassment.</w:t>
      </w:r>
    </w:p>
    <w:p w14:paraId="42E8907F" w14:textId="77777777" w:rsidR="00C52373" w:rsidRPr="00C52373" w:rsidRDefault="00C52373" w:rsidP="00C52373">
      <w:r w:rsidRPr="00C52373">
        <w:rPr>
          <w:b/>
          <w:bCs/>
        </w:rPr>
        <w:t>States Parties shall take all appropriate measures to eliminate discrimination against women in the political and public life of the country and, in particular, shall ensure to women, on equal terms with men, the right:</w:t>
      </w:r>
    </w:p>
    <w:p w14:paraId="6EFC42C2" w14:textId="77777777" w:rsidR="00C52373" w:rsidRPr="00C52373" w:rsidRDefault="00C52373" w:rsidP="00C52373">
      <w:r w:rsidRPr="00C52373">
        <w:rPr>
          <w:b/>
          <w:bCs/>
        </w:rPr>
        <w:t>(a)</w:t>
      </w:r>
      <w:r w:rsidRPr="00C52373">
        <w:t xml:space="preserve"> To vote in all elections and public referenda and to be eligible for election to all publicly elected bodies;</w:t>
      </w:r>
    </w:p>
    <w:p w14:paraId="5E99F886" w14:textId="77777777" w:rsidR="00C52373" w:rsidRPr="00C52373" w:rsidRDefault="00C52373" w:rsidP="00C52373">
      <w:r w:rsidRPr="00C52373">
        <w:rPr>
          <w:b/>
          <w:bCs/>
        </w:rPr>
        <w:t>(b)</w:t>
      </w:r>
      <w:r w:rsidRPr="00C52373">
        <w:t xml:space="preserve"> To participate in the formulation of government policy and the implementation thereof and to hold public office and perform all public functions at all levels of government;</w:t>
      </w:r>
    </w:p>
    <w:p w14:paraId="53E003AC" w14:textId="77777777" w:rsidR="00C52373" w:rsidRPr="00C52373" w:rsidRDefault="00C52373" w:rsidP="00C52373">
      <w:r w:rsidRPr="00C52373">
        <w:rPr>
          <w:b/>
          <w:bCs/>
        </w:rPr>
        <w:t>(c)</w:t>
      </w:r>
      <w:r w:rsidRPr="00C52373">
        <w:t xml:space="preserve"> To participate in non-governmental organizations and associations concerned with the public and political life of the country.</w:t>
      </w:r>
    </w:p>
    <w:p w14:paraId="53F9B2E7" w14:textId="77777777" w:rsidR="00C52373" w:rsidRPr="00C52373" w:rsidRDefault="00C52373" w:rsidP="00C52373">
      <w:pPr>
        <w:spacing w:before="100" w:beforeAutospacing="1" w:after="100" w:afterAutospacing="1"/>
        <w:outlineLvl w:val="1"/>
        <w:rPr>
          <w:b/>
          <w:bCs/>
          <w:sz w:val="30"/>
          <w:szCs w:val="30"/>
        </w:rPr>
      </w:pPr>
      <w:r w:rsidRPr="00C52373">
        <w:rPr>
          <w:b/>
          <w:bCs/>
          <w:sz w:val="30"/>
          <w:szCs w:val="30"/>
        </w:rPr>
        <w:t>Article 10(c): Education and Stereotyping</w:t>
      </w:r>
    </w:p>
    <w:p w14:paraId="2D512475" w14:textId="77777777" w:rsidR="00C52373" w:rsidRPr="00C52373" w:rsidRDefault="00C52373" w:rsidP="00C52373">
      <w:r w:rsidRPr="00C52373">
        <w:t>This article explicitly targets the elimination of stereotyped concepts, which involves regulating or revising the text and imagery used in educational materials.</w:t>
      </w:r>
    </w:p>
    <w:p w14:paraId="1CF05C7F" w14:textId="77777777" w:rsidR="00C52373" w:rsidRPr="00C52373" w:rsidRDefault="00C52373" w:rsidP="00C52373">
      <w:r w:rsidRPr="00C52373">
        <w:rPr>
          <w:b/>
          <w:bCs/>
        </w:rPr>
        <w:t>States Parties shall take all appropriate measures to eliminate discrimination against women in order to ensure to them equal rights with men in the field of education and in particular to ensure, on a basis of equality of men and women:</w:t>
      </w:r>
      <w:r w:rsidRPr="00C52373">
        <w:br/>
        <w:t>[...]</w:t>
      </w:r>
      <w:r w:rsidRPr="00C52373">
        <w:br/>
      </w:r>
      <w:r w:rsidRPr="00C52373">
        <w:rPr>
          <w:b/>
          <w:bCs/>
        </w:rPr>
        <w:t>(c)</w:t>
      </w:r>
      <w:r w:rsidRPr="00C52373">
        <w:t xml:space="preserve"> The elimination of any stereotyped concept of the roles of men and women at all levels and in all forms of education by encouraging coeducation and other types of education which will help to achieve this aim and, in particular, by the revision of textbooks and school programmes and the adaptation of teaching methods;</w:t>
      </w:r>
    </w:p>
    <w:p w14:paraId="4C192C42" w14:textId="4A112F6C" w:rsidR="00C52373" w:rsidRDefault="00C52373" w:rsidP="00C52373">
      <w:pPr>
        <w:rPr>
          <w:lang w:eastAsia="ko-KR"/>
        </w:rPr>
      </w:pPr>
    </w:p>
    <w:p w14:paraId="2A2BCD35" w14:textId="77777777" w:rsidR="00B916B7" w:rsidRDefault="00B916B7" w:rsidP="00C52373">
      <w:pPr>
        <w:rPr>
          <w:lang w:eastAsia="ko-KR"/>
        </w:rPr>
      </w:pPr>
    </w:p>
    <w:p w14:paraId="13AECFC6" w14:textId="77777777" w:rsidR="00B916B7" w:rsidRDefault="00B916B7" w:rsidP="00C52373">
      <w:pPr>
        <w:rPr>
          <w:lang w:eastAsia="ko-KR"/>
        </w:rPr>
      </w:pPr>
    </w:p>
    <w:p w14:paraId="3A3AF419" w14:textId="77777777" w:rsidR="00B916B7" w:rsidRDefault="00B916B7" w:rsidP="00C52373">
      <w:pPr>
        <w:rPr>
          <w:lang w:eastAsia="ko-KR"/>
        </w:rPr>
      </w:pPr>
    </w:p>
    <w:p w14:paraId="2EED75A9" w14:textId="77777777" w:rsidR="00B916B7" w:rsidRPr="00C52373" w:rsidRDefault="00B916B7" w:rsidP="00C52373">
      <w:pPr>
        <w:rPr>
          <w:rFonts w:hint="eastAsia"/>
          <w:lang w:eastAsia="ko-KR"/>
        </w:rPr>
      </w:pPr>
    </w:p>
    <w:p w14:paraId="48801650" w14:textId="0301E00D" w:rsidR="00C52373" w:rsidRPr="00C52373" w:rsidRDefault="00C52373" w:rsidP="00C52373">
      <w:r w:rsidRPr="00C52373">
        <w:rPr>
          <w:b/>
          <w:bCs/>
        </w:rPr>
        <w:t>General Recommendation No. 35 (2017)</w:t>
      </w:r>
      <w:r w:rsidRPr="00C52373">
        <w:t xml:space="preserve"> dynamically expands these articles into the digital age, explicitly stating that gender-based violence happens through:</w:t>
      </w:r>
    </w:p>
    <w:p w14:paraId="74E4D9B2" w14:textId="77777777" w:rsidR="00C52373" w:rsidRPr="00C52373" w:rsidRDefault="00C52373" w:rsidP="00C52373">
      <w:r w:rsidRPr="00C52373">
        <w:rPr>
          <w:i/>
          <w:iCs/>
        </w:rPr>
        <w:t>"...contemporary forms of violence occurring in such settings, such as online environments and digital spaces."</w:t>
      </w:r>
    </w:p>
    <w:p w14:paraId="0A806B51" w14:textId="77777777" w:rsidR="00C52373" w:rsidRPr="00C52373" w:rsidRDefault="00C52373" w:rsidP="00C52373">
      <w:r w:rsidRPr="00C52373">
        <w:t>It mandates that countries must take legislative measures to prevent and punish these digital expressions of violence, which serves as the modern legal mechanism for restricting harmful online speech.</w:t>
      </w:r>
    </w:p>
    <w:p w14:paraId="4B70941C" w14:textId="5FCEEEA6" w:rsidR="00C52373" w:rsidRPr="00B916B7" w:rsidRDefault="00C52373" w:rsidP="00B916B7">
      <w:r w:rsidRPr="00C52373">
        <w:br/>
      </w:r>
      <w:r w:rsidRPr="00C52373">
        <w:rPr>
          <w:b/>
          <w:bCs/>
          <w:sz w:val="30"/>
          <w:szCs w:val="30"/>
        </w:rPr>
        <w:t>Prohibitive Effect: Restricting Stereotypes and Hate Speech</w:t>
      </w:r>
    </w:p>
    <w:p w14:paraId="3C3BD9EF" w14:textId="395F413C" w:rsidR="00C52373" w:rsidRPr="00C52373" w:rsidRDefault="00C52373" w:rsidP="00B916B7">
      <w:pPr>
        <w:rPr>
          <w:rFonts w:hint="eastAsia"/>
          <w:lang w:eastAsia="ko-KR"/>
        </w:rPr>
      </w:pPr>
      <w:r w:rsidRPr="00C52373">
        <w:t>CEDAW places legal obligations on governments to actively suppress specific types of harmful public expression, which directly limits certain forms of speech.</w:t>
      </w:r>
    </w:p>
    <w:p w14:paraId="5F248A9A" w14:textId="77777777" w:rsidR="00C52373" w:rsidRPr="00C52373" w:rsidRDefault="00C52373" w:rsidP="00C52373">
      <w:pPr>
        <w:numPr>
          <w:ilvl w:val="0"/>
          <w:numId w:val="5"/>
        </w:numPr>
        <w:spacing w:before="100" w:beforeAutospacing="1" w:after="100" w:afterAutospacing="1"/>
      </w:pPr>
      <w:r w:rsidRPr="00C52373">
        <w:rPr>
          <w:b/>
          <w:bCs/>
        </w:rPr>
        <w:t>Regulating Gender Stereotypes (Article 5):</w:t>
      </w:r>
      <w:r w:rsidRPr="00C52373">
        <w:t xml:space="preserve"> This article mandates that states take "all appropriate measures" to eliminate prejudices and customary practices based on gender stereotypes or ideas of sexual inferiority. The </w:t>
      </w:r>
      <w:hyperlink r:id="rId5" w:history="1">
        <w:r w:rsidRPr="00C52373">
          <w:rPr>
            <w:color w:val="0000FF"/>
            <w:u w:val="single"/>
          </w:rPr>
          <w:t>CEDAW Committee</w:t>
        </w:r>
      </w:hyperlink>
      <w:r w:rsidRPr="00C52373">
        <w:t xml:space="preserve"> interprets this as an instruction for countries to regulate sexist language, gender-demeaning media representations, and discriminatory commercial advertising. [1] </w:t>
      </w:r>
    </w:p>
    <w:p w14:paraId="17E61B8D" w14:textId="77777777" w:rsidR="00C52373" w:rsidRPr="00C52373" w:rsidRDefault="00C52373" w:rsidP="00C52373">
      <w:pPr>
        <w:numPr>
          <w:ilvl w:val="0"/>
          <w:numId w:val="5"/>
        </w:numPr>
        <w:spacing w:before="100" w:beforeAutospacing="1" w:after="100" w:afterAutospacing="1"/>
      </w:pPr>
      <w:r w:rsidRPr="00C52373">
        <w:rPr>
          <w:b/>
          <w:bCs/>
        </w:rPr>
        <w:t>Suppressing Online Harassment and Digital Hate Speech:</w:t>
      </w:r>
      <w:r w:rsidRPr="00C52373">
        <w:t xml:space="preserve"> In </w:t>
      </w:r>
      <w:r w:rsidRPr="00C52373">
        <w:rPr>
          <w:b/>
          <w:bCs/>
        </w:rPr>
        <w:t>General Recommendation No. 35</w:t>
      </w:r>
      <w:r w:rsidRPr="00C52373">
        <w:t xml:space="preserve">, the Committee extended CEDAW's reach into digital landscapes. It requires states to introduce legislative boundaries and legal penalties against digital gender-based violence, such as online stalking, deepfakes, and targeted cyber-harassment. Under this framework, speech that crosses into misogynistic harassment is treated as a human rights violation rather than protected speech. [1, 2] </w:t>
      </w:r>
    </w:p>
    <w:p w14:paraId="48444786" w14:textId="19A0B2AA" w:rsidR="00C52373" w:rsidRPr="00C52373" w:rsidRDefault="00C52373" w:rsidP="00B916B7">
      <w:pPr>
        <w:numPr>
          <w:ilvl w:val="0"/>
          <w:numId w:val="5"/>
        </w:numPr>
        <w:spacing w:before="100" w:beforeAutospacing="1" w:after="100" w:afterAutospacing="1"/>
        <w:rPr>
          <w:rFonts w:hint="eastAsia"/>
        </w:rPr>
      </w:pPr>
      <w:r w:rsidRPr="00C52373">
        <w:rPr>
          <w:b/>
          <w:bCs/>
        </w:rPr>
        <w:t>Overhauling Educational Expression (Article 10c):</w:t>
      </w:r>
      <w:r w:rsidRPr="00C52373">
        <w:t xml:space="preserve"> CEDAW obligates states to actively revise textbooks, educational literature, and teaching materials to completely eliminate stereotyped roles. This represents state-mandated intervention in academic and literary expression.</w:t>
      </w:r>
    </w:p>
    <w:p w14:paraId="7E78C25B" w14:textId="4E5C2502" w:rsidR="00C52373" w:rsidRPr="00C52373" w:rsidRDefault="00C52373" w:rsidP="00C52373">
      <w:pPr>
        <w:spacing w:before="100" w:beforeAutospacing="1" w:after="100" w:afterAutospacing="1"/>
        <w:outlineLvl w:val="1"/>
        <w:rPr>
          <w:b/>
          <w:bCs/>
          <w:sz w:val="30"/>
          <w:szCs w:val="30"/>
        </w:rPr>
      </w:pPr>
      <w:r w:rsidRPr="00C52373">
        <w:rPr>
          <w:b/>
          <w:bCs/>
          <w:sz w:val="30"/>
          <w:szCs w:val="30"/>
        </w:rPr>
        <w:t>Empowering Effect: Enabling Women's Free Speech</w:t>
      </w:r>
    </w:p>
    <w:p w14:paraId="79C525B9" w14:textId="77777777" w:rsidR="00C52373" w:rsidRPr="00C52373" w:rsidRDefault="00C52373" w:rsidP="00C52373">
      <w:r w:rsidRPr="00C52373">
        <w:t xml:space="preserve">Conversely, human rights experts view CEDAW as a vital mechanism for </w:t>
      </w:r>
      <w:r w:rsidRPr="00C52373">
        <w:rPr>
          <w:i/>
          <w:iCs/>
        </w:rPr>
        <w:t>maximizing</w:t>
      </w:r>
      <w:r w:rsidRPr="00C52373">
        <w:t xml:space="preserve"> genuine freedom of expression by correcting structural power imbalances. [3] </w:t>
      </w:r>
    </w:p>
    <w:p w14:paraId="4944BB33" w14:textId="77777777" w:rsidR="00C52373" w:rsidRPr="00C52373" w:rsidRDefault="00C52373" w:rsidP="00C52373">
      <w:pPr>
        <w:numPr>
          <w:ilvl w:val="0"/>
          <w:numId w:val="6"/>
        </w:numPr>
        <w:spacing w:before="100" w:beforeAutospacing="1" w:after="100" w:afterAutospacing="1"/>
      </w:pPr>
      <w:r w:rsidRPr="00C52373">
        <w:rPr>
          <w:b/>
          <w:bCs/>
        </w:rPr>
        <w:t>Preventing the "Silencing" Effect:</w:t>
      </w:r>
      <w:r w:rsidRPr="00C52373">
        <w:t xml:space="preserve"> Human rights groups point out that systemic, violent, or highly sexualized speech targeting female journalists, politicians, and human rights defenders functions as a severe form of informal censorship. It forces women to self-censor or leave public platforms entirely. By commanding states to curb this hostile environment, CEDAW protects women's right to speak publicly without fear of targeted retaliation. [4] </w:t>
      </w:r>
    </w:p>
    <w:p w14:paraId="462CA1FC" w14:textId="3F59EF9E" w:rsidR="00C52373" w:rsidRPr="00C52373" w:rsidRDefault="00C52373" w:rsidP="00B916B7">
      <w:pPr>
        <w:numPr>
          <w:ilvl w:val="0"/>
          <w:numId w:val="6"/>
        </w:numPr>
        <w:spacing w:before="100" w:beforeAutospacing="1" w:after="100" w:afterAutospacing="1"/>
        <w:rPr>
          <w:rFonts w:hint="eastAsia"/>
        </w:rPr>
      </w:pPr>
      <w:r w:rsidRPr="00C52373">
        <w:rPr>
          <w:b/>
          <w:bCs/>
        </w:rPr>
        <w:t>Political and Civic Voice (Article 7):</w:t>
      </w:r>
      <w:r w:rsidRPr="00C52373">
        <w:t xml:space="preserve"> This article explicitly guarantees women the right to participate equally in public and political life. Protecting this right requires states to ensure a safe, egalitarian public square where women can express political dissent, run for office, and lobby governments on equal terms with men. [5] </w:t>
      </w:r>
    </w:p>
    <w:p w14:paraId="5C603312" w14:textId="789D6627" w:rsidR="00C52373" w:rsidRPr="00C52373" w:rsidRDefault="00C52373" w:rsidP="00B916B7">
      <w:pPr>
        <w:spacing w:before="100" w:beforeAutospacing="1" w:after="100" w:afterAutospacing="1"/>
      </w:pPr>
      <w:r w:rsidRPr="00C52373">
        <w:rPr>
          <w:b/>
          <w:bCs/>
        </w:rPr>
        <w:t>United States Ratification Stance:</w:t>
      </w:r>
      <w:r w:rsidRPr="00C52373">
        <w:t xml:space="preserve"> The tension is most evident in the United States, which has signed but never ratified CEDAW. During domestic ratification debates, the U.S. executive </w:t>
      </w:r>
      <w:r w:rsidRPr="00C52373">
        <w:lastRenderedPageBreak/>
        <w:t xml:space="preserve">branch and Senate consistently insisted on attaching a specific </w:t>
      </w:r>
      <w:r w:rsidRPr="00C52373">
        <w:rPr>
          <w:b/>
          <w:bCs/>
        </w:rPr>
        <w:t>"understanding"</w:t>
      </w:r>
      <w:r w:rsidRPr="00C52373">
        <w:t xml:space="preserve"> regarding speech. This legal caveat stated that the U.S. would accept no treaty obligation under Articles 5 or 7 that could restrict the sweeping freedom of speech, expression, or association protected by the First Amendment of the U.S. Constitution. [6, 7, 8] </w:t>
      </w:r>
    </w:p>
    <w:p w14:paraId="05044FAF" w14:textId="77777777" w:rsidR="00C52373" w:rsidRPr="00C52373" w:rsidRDefault="00C52373" w:rsidP="00C52373"/>
    <w:p w14:paraId="11719CE8" w14:textId="77777777" w:rsidR="00C52373" w:rsidRPr="00C52373" w:rsidRDefault="00C52373" w:rsidP="00C52373">
      <w:r w:rsidRPr="00C52373">
        <w:t xml:space="preserve">[1] </w:t>
      </w:r>
      <w:hyperlink r:id="rId6" w:history="1">
        <w:r w:rsidRPr="00C52373">
          <w:rPr>
            <w:color w:val="0000FF"/>
            <w:u w:val="single"/>
          </w:rPr>
          <w:t>https://www.qil-qdi.org</w:t>
        </w:r>
      </w:hyperlink>
    </w:p>
    <w:p w14:paraId="4E9D29D3" w14:textId="77777777" w:rsidR="00C52373" w:rsidRPr="00C52373" w:rsidRDefault="00C52373" w:rsidP="00C52373">
      <w:r w:rsidRPr="00C52373">
        <w:t xml:space="preserve">[2] </w:t>
      </w:r>
      <w:hyperlink r:id="rId7" w:history="1">
        <w:r w:rsidRPr="00C52373">
          <w:rPr>
            <w:color w:val="0000FF"/>
            <w:u w:val="single"/>
          </w:rPr>
          <w:t>https://www.ohchr.org</w:t>
        </w:r>
      </w:hyperlink>
    </w:p>
    <w:p w14:paraId="7E5A70AB" w14:textId="77777777" w:rsidR="00C52373" w:rsidRPr="00C52373" w:rsidRDefault="00C52373" w:rsidP="00C52373">
      <w:r w:rsidRPr="00C52373">
        <w:t xml:space="preserve">[3] </w:t>
      </w:r>
      <w:hyperlink r:id="rId8" w:history="1">
        <w:r w:rsidRPr="00C52373">
          <w:rPr>
            <w:color w:val="0000FF"/>
            <w:u w:val="single"/>
          </w:rPr>
          <w:t>https://academic.oup.com</w:t>
        </w:r>
      </w:hyperlink>
    </w:p>
    <w:p w14:paraId="6EA15B56" w14:textId="77777777" w:rsidR="00C52373" w:rsidRPr="00C52373" w:rsidRDefault="00C52373" w:rsidP="00C52373">
      <w:r w:rsidRPr="00C52373">
        <w:t xml:space="preserve">[4] </w:t>
      </w:r>
      <w:hyperlink r:id="rId9" w:history="1">
        <w:r w:rsidRPr="00C52373">
          <w:rPr>
            <w:color w:val="0000FF"/>
            <w:u w:val="single"/>
          </w:rPr>
          <w:t>https://ifex.org</w:t>
        </w:r>
      </w:hyperlink>
    </w:p>
    <w:p w14:paraId="3F39DED0" w14:textId="77777777" w:rsidR="00C52373" w:rsidRPr="00C52373" w:rsidRDefault="00C52373" w:rsidP="00C52373">
      <w:r w:rsidRPr="00C52373">
        <w:t xml:space="preserve">[5] </w:t>
      </w:r>
      <w:hyperlink r:id="rId10" w:history="1">
        <w:r w:rsidRPr="00C52373">
          <w:rPr>
            <w:color w:val="0000FF"/>
            <w:u w:val="single"/>
          </w:rPr>
          <w:t>https://www.refworld.org</w:t>
        </w:r>
      </w:hyperlink>
    </w:p>
    <w:p w14:paraId="2A25B30C" w14:textId="77777777" w:rsidR="00C52373" w:rsidRPr="00C52373" w:rsidRDefault="00C52373" w:rsidP="00C52373">
      <w:r w:rsidRPr="00C52373">
        <w:t xml:space="preserve">[6] </w:t>
      </w:r>
      <w:hyperlink r:id="rId11" w:history="1">
        <w:r w:rsidRPr="00C52373">
          <w:rPr>
            <w:color w:val="0000FF"/>
            <w:u w:val="single"/>
          </w:rPr>
          <w:t>https://scholarlycommons.law.case.edu</w:t>
        </w:r>
      </w:hyperlink>
    </w:p>
    <w:p w14:paraId="035292E7" w14:textId="77777777" w:rsidR="00C52373" w:rsidRPr="00C52373" w:rsidRDefault="00C52373" w:rsidP="00C52373">
      <w:r w:rsidRPr="00C52373">
        <w:t xml:space="preserve">[7] </w:t>
      </w:r>
      <w:hyperlink r:id="rId12" w:history="1">
        <w:r w:rsidRPr="00C52373">
          <w:rPr>
            <w:color w:val="0000FF"/>
            <w:u w:val="single"/>
          </w:rPr>
          <w:t>https://www.fawco.org</w:t>
        </w:r>
      </w:hyperlink>
    </w:p>
    <w:p w14:paraId="11DA5C99" w14:textId="77777777" w:rsidR="00C52373" w:rsidRPr="00C52373" w:rsidRDefault="00C52373" w:rsidP="00C52373">
      <w:r w:rsidRPr="00C52373">
        <w:t xml:space="preserve">[8] </w:t>
      </w:r>
      <w:hyperlink r:id="rId13" w:history="1">
        <w:r w:rsidRPr="00C52373">
          <w:rPr>
            <w:color w:val="0000FF"/>
            <w:u w:val="single"/>
          </w:rPr>
          <w:t>https://www.congress.gov</w:t>
        </w:r>
      </w:hyperlink>
    </w:p>
    <w:p w14:paraId="1C49F97D" w14:textId="77777777" w:rsidR="004F4C8C" w:rsidRDefault="004F4C8C"/>
    <w:p w14:paraId="014B66FE" w14:textId="5B709995" w:rsidR="00C52373" w:rsidRPr="00C52373" w:rsidRDefault="00C52373" w:rsidP="00C52373">
      <w:r w:rsidRPr="00C52373">
        <w:rPr>
          <w:b/>
          <w:bCs/>
        </w:rPr>
        <w:t xml:space="preserve">The UN CEDAW Committee’s regular compliance reviews of </w:t>
      </w:r>
      <w:hyperlink r:id="rId14" w:history="1">
        <w:r w:rsidRPr="00C52373">
          <w:rPr>
            <w:b/>
            <w:bCs/>
            <w:color w:val="0000FF"/>
            <w:u w:val="single"/>
          </w:rPr>
          <w:t>Malaysia</w:t>
        </w:r>
      </w:hyperlink>
      <w:r w:rsidRPr="00C52373">
        <w:rPr>
          <w:b/>
          <w:bCs/>
        </w:rPr>
        <w:t xml:space="preserve"> highlight a sharp critique of how the country’s state-controlled media, religious conservatism, and speech restrictions harm women</w:t>
      </w:r>
      <w:r w:rsidR="00B916B7">
        <w:rPr>
          <w:rFonts w:hint="eastAsia"/>
          <w:b/>
          <w:bCs/>
          <w:lang w:eastAsia="ko-KR"/>
        </w:rPr>
        <w:t xml:space="preserve"> </w:t>
      </w:r>
      <w:r w:rsidRPr="00C52373">
        <w:t xml:space="preserve">for reinforcing deeply entrenched patriarchy, while simultaneously warning that state laws are silencing female human rights defenders. [1] </w:t>
      </w:r>
    </w:p>
    <w:p w14:paraId="4E977E37" w14:textId="088619B0" w:rsidR="00C52373" w:rsidRPr="00C52373" w:rsidRDefault="00C52373" w:rsidP="00C52373">
      <w:pPr>
        <w:spacing w:before="100" w:beforeAutospacing="1" w:after="100" w:afterAutospacing="1"/>
        <w:outlineLvl w:val="1"/>
        <w:rPr>
          <w:b/>
          <w:bCs/>
          <w:sz w:val="30"/>
          <w:szCs w:val="30"/>
        </w:rPr>
      </w:pPr>
      <w:r w:rsidRPr="00C52373">
        <w:rPr>
          <w:b/>
          <w:bCs/>
          <w:sz w:val="30"/>
          <w:szCs w:val="30"/>
        </w:rPr>
        <w:t>Proliferation of Stereotypes in State and Commercial Media</w:t>
      </w:r>
    </w:p>
    <w:p w14:paraId="22F82A4C" w14:textId="62502BB9" w:rsidR="00C52373" w:rsidRPr="00C52373" w:rsidRDefault="00C52373" w:rsidP="00B916B7">
      <w:pPr>
        <w:rPr>
          <w:rFonts w:hint="eastAsia"/>
          <w:lang w:eastAsia="ko-KR"/>
        </w:rPr>
      </w:pPr>
      <w:r w:rsidRPr="00C52373">
        <w:t xml:space="preserve">The Committee consistently reprimands Malaysia under </w:t>
      </w:r>
      <w:r w:rsidRPr="00C52373">
        <w:rPr>
          <w:b/>
          <w:bCs/>
        </w:rPr>
        <w:t>Article 5</w:t>
      </w:r>
      <w:r w:rsidRPr="00C52373">
        <w:t xml:space="preserve"> for its failure to regulate media content that portrays women in subordinate, traditional, or hyper-sexualized roles.</w:t>
      </w:r>
    </w:p>
    <w:p w14:paraId="257B776F" w14:textId="77777777" w:rsidR="00C52373" w:rsidRPr="00C52373" w:rsidRDefault="00C52373" w:rsidP="00C52373">
      <w:pPr>
        <w:numPr>
          <w:ilvl w:val="0"/>
          <w:numId w:val="9"/>
        </w:numPr>
        <w:spacing w:before="100" w:beforeAutospacing="1" w:after="100" w:afterAutospacing="1"/>
      </w:pPr>
      <w:r w:rsidRPr="00C52373">
        <w:rPr>
          <w:b/>
          <w:bCs/>
        </w:rPr>
        <w:t>Media as a Tool of Patriarchal Control:</w:t>
      </w:r>
      <w:r w:rsidRPr="00C52373">
        <w:t xml:space="preserve"> The Committee critiques the government for allowing mainstream broadcasting, print, and digital advertisements to perpetuate the idea that a woman’s primary value is domestic.</w:t>
      </w:r>
    </w:p>
    <w:p w14:paraId="2F4242DE" w14:textId="4A9ECA14" w:rsidR="00C52373" w:rsidRPr="00C52373" w:rsidRDefault="00C52373" w:rsidP="00B916B7">
      <w:pPr>
        <w:numPr>
          <w:ilvl w:val="0"/>
          <w:numId w:val="9"/>
        </w:numPr>
        <w:spacing w:before="100" w:beforeAutospacing="1" w:after="100" w:afterAutospacing="1"/>
        <w:rPr>
          <w:rFonts w:hint="eastAsia"/>
        </w:rPr>
      </w:pPr>
      <w:r w:rsidRPr="00C52373">
        <w:rPr>
          <w:b/>
          <w:bCs/>
        </w:rPr>
        <w:t>Lack of Mandatory Guidelines:</w:t>
      </w:r>
      <w:r w:rsidRPr="00C52373">
        <w:t xml:space="preserve"> Rather than letting the government hide behind a "free market media" defense, the Committee urges Malaysia to enforce mandatory gender-sensitive code-of-conduct policies across public and private broadcasting networks to completely eliminate discriminatory media imagery.</w:t>
      </w:r>
    </w:p>
    <w:p w14:paraId="1C0C0B27" w14:textId="3986F6A5" w:rsidR="00C52373" w:rsidRPr="00C52373" w:rsidRDefault="00C52373" w:rsidP="00C52373">
      <w:pPr>
        <w:spacing w:before="100" w:beforeAutospacing="1" w:after="100" w:afterAutospacing="1"/>
        <w:outlineLvl w:val="1"/>
        <w:rPr>
          <w:b/>
          <w:bCs/>
          <w:sz w:val="30"/>
          <w:szCs w:val="30"/>
        </w:rPr>
      </w:pPr>
      <w:r w:rsidRPr="00C52373">
        <w:rPr>
          <w:b/>
          <w:bCs/>
          <w:sz w:val="30"/>
          <w:szCs w:val="30"/>
        </w:rPr>
        <w:t>Digital Hate Speech and Cyber-Harassment</w:t>
      </w:r>
    </w:p>
    <w:p w14:paraId="52B56F7B" w14:textId="3F677BE5" w:rsidR="00C52373" w:rsidRPr="00C52373" w:rsidRDefault="00C52373" w:rsidP="00B916B7">
      <w:pPr>
        <w:rPr>
          <w:rFonts w:hint="eastAsia"/>
          <w:lang w:eastAsia="ko-KR"/>
        </w:rPr>
      </w:pPr>
      <w:r w:rsidRPr="00C52373">
        <w:t xml:space="preserve">As online spaces have evolved, the Committee's review focus has heavily shifted to digital governance in Southeast Asia. [2] </w:t>
      </w:r>
    </w:p>
    <w:p w14:paraId="158299F4" w14:textId="77777777" w:rsidR="00C52373" w:rsidRPr="00C52373" w:rsidRDefault="00C52373" w:rsidP="00C52373">
      <w:pPr>
        <w:numPr>
          <w:ilvl w:val="0"/>
          <w:numId w:val="10"/>
        </w:numPr>
        <w:spacing w:before="100" w:beforeAutospacing="1" w:after="100" w:afterAutospacing="1"/>
      </w:pPr>
      <w:r w:rsidRPr="00C52373">
        <w:rPr>
          <w:b/>
          <w:bCs/>
        </w:rPr>
        <w:t>The "Silencing" of Online Voice:</w:t>
      </w:r>
      <w:r w:rsidRPr="00C52373">
        <w:t xml:space="preserve"> The Committee flags a severe rise in gender-based cyber-harassment, trolling, and digital threats directed at female politicians, journalists, and activists in Malaysia.</w:t>
      </w:r>
    </w:p>
    <w:p w14:paraId="4E58D811" w14:textId="77777777" w:rsidR="00C52373" w:rsidRPr="00C52373" w:rsidRDefault="00C52373" w:rsidP="00C52373">
      <w:pPr>
        <w:numPr>
          <w:ilvl w:val="0"/>
          <w:numId w:val="10"/>
        </w:numPr>
        <w:spacing w:before="100" w:beforeAutospacing="1" w:after="100" w:afterAutospacing="1"/>
      </w:pPr>
      <w:r w:rsidRPr="00C52373">
        <w:rPr>
          <w:b/>
          <w:bCs/>
        </w:rPr>
        <w:t>Critique of State Inaction:</w:t>
      </w:r>
      <w:r w:rsidRPr="00C52373">
        <w:t xml:space="preserve"> The Committee notes that the absence of strict, swift judicial enforcement against digital perpetrators allows hostile actors to create an online environment where women self-censor. They explicitly call on Malaysia to use modern policy instruments, such as aligning actions with the country's Digital Education Policy, to foster a safe digital public square. [2] </w:t>
      </w:r>
    </w:p>
    <w:p w14:paraId="7D6A60F5" w14:textId="605D5E03" w:rsidR="00C52373" w:rsidRPr="00B916B7" w:rsidRDefault="00C52373" w:rsidP="00B916B7">
      <w:pPr>
        <w:spacing w:before="100" w:beforeAutospacing="1" w:after="100" w:afterAutospacing="1"/>
      </w:pPr>
      <w:r w:rsidRPr="00B916B7">
        <w:rPr>
          <w:b/>
          <w:bCs/>
          <w:sz w:val="30"/>
          <w:szCs w:val="30"/>
        </w:rPr>
        <w:t>Silencing of Female Human Rights Defenders</w:t>
      </w:r>
    </w:p>
    <w:p w14:paraId="7C2CDB05" w14:textId="03F2E134" w:rsidR="00C52373" w:rsidRPr="00C52373" w:rsidRDefault="00C52373" w:rsidP="00B916B7">
      <w:pPr>
        <w:rPr>
          <w:rFonts w:hint="eastAsia"/>
          <w:lang w:eastAsia="ko-KR"/>
        </w:rPr>
      </w:pPr>
      <w:r w:rsidRPr="00C52373">
        <w:lastRenderedPageBreak/>
        <w:t>One of the most intense legal frictions between CEDAW and Malaysia involves the targeted use of national security and speech laws to suppress public advocacy.</w:t>
      </w:r>
    </w:p>
    <w:p w14:paraId="5FDB5529" w14:textId="77777777" w:rsidR="00C52373" w:rsidRPr="00C52373" w:rsidRDefault="00C52373" w:rsidP="00C52373">
      <w:pPr>
        <w:numPr>
          <w:ilvl w:val="0"/>
          <w:numId w:val="11"/>
        </w:numPr>
        <w:spacing w:before="100" w:beforeAutospacing="1" w:after="100" w:afterAutospacing="1"/>
      </w:pPr>
      <w:r w:rsidRPr="00C52373">
        <w:rPr>
          <w:b/>
          <w:bCs/>
        </w:rPr>
        <w:t>Misuse of Speech Laws:</w:t>
      </w:r>
      <w:r w:rsidRPr="00C52373">
        <w:t xml:space="preserve"> The Committee has expressed deep concern that Malaysia utilizes restrictive domestic laws—such as the </w:t>
      </w:r>
      <w:r w:rsidRPr="00C52373">
        <w:rPr>
          <w:i/>
          <w:iCs/>
        </w:rPr>
        <w:t>Sedition Act</w:t>
      </w:r>
      <w:r w:rsidRPr="00C52373">
        <w:t xml:space="preserve"> and the </w:t>
      </w:r>
      <w:r w:rsidRPr="00C52373">
        <w:rPr>
          <w:i/>
          <w:iCs/>
        </w:rPr>
        <w:t>Communications and Multimedia Act (CMA)</w:t>
      </w:r>
      <w:r w:rsidRPr="00C52373">
        <w:t>—to penalize, harass, or investigate women’s rights activists, LGBTQ+ advocates, and civil society organizations.</w:t>
      </w:r>
    </w:p>
    <w:p w14:paraId="62A813B4" w14:textId="117FF10F" w:rsidR="00C52373" w:rsidRPr="00C52373" w:rsidRDefault="00C52373" w:rsidP="00B916B7">
      <w:pPr>
        <w:numPr>
          <w:ilvl w:val="0"/>
          <w:numId w:val="11"/>
        </w:numPr>
        <w:spacing w:before="100" w:beforeAutospacing="1" w:after="100" w:afterAutospacing="1"/>
        <w:rPr>
          <w:rFonts w:hint="eastAsia"/>
        </w:rPr>
      </w:pPr>
      <w:r w:rsidRPr="00C52373">
        <w:rPr>
          <w:b/>
          <w:bCs/>
        </w:rPr>
        <w:t>Impact on Advocacy:</w:t>
      </w:r>
      <w:r w:rsidRPr="00C52373">
        <w:t xml:space="preserve"> The Committee argues that using criminal defamation or internet speech laws against peaceful human rights groups directly violates women's right to public and political life (Article 7). They consistently recommend that Malaysia amend these overbroad laws to ensure activists can speak out against discrimination without fear of arbitrary state retaliation. [1, 3] </w:t>
      </w:r>
    </w:p>
    <w:p w14:paraId="6508C937" w14:textId="42E0AA1E" w:rsidR="00C52373" w:rsidRPr="00C52373" w:rsidRDefault="00C52373" w:rsidP="00C52373">
      <w:pPr>
        <w:spacing w:before="100" w:beforeAutospacing="1" w:after="100" w:afterAutospacing="1"/>
        <w:outlineLvl w:val="1"/>
        <w:rPr>
          <w:b/>
          <w:bCs/>
          <w:sz w:val="30"/>
          <w:szCs w:val="30"/>
        </w:rPr>
      </w:pPr>
      <w:r w:rsidRPr="00C52373">
        <w:rPr>
          <w:b/>
          <w:bCs/>
          <w:sz w:val="30"/>
          <w:szCs w:val="30"/>
        </w:rPr>
        <w:t>Religious Conservatism and Media Censorship</w:t>
      </w:r>
    </w:p>
    <w:p w14:paraId="5B340E54" w14:textId="079BFEA0" w:rsidR="00C52373" w:rsidRPr="00C52373" w:rsidRDefault="00C52373" w:rsidP="00B916B7">
      <w:pPr>
        <w:rPr>
          <w:rFonts w:hint="eastAsia"/>
          <w:lang w:eastAsia="ko-KR"/>
        </w:rPr>
      </w:pPr>
      <w:r w:rsidRPr="00C52373">
        <w:t xml:space="preserve">Malaysia maintains a dual legal system where civil law runs parallel to Islamic Syariah law. The government maintains constitutional reservations to parts of CEDAW, justifying them under Islamic governance. [4, 5] </w:t>
      </w:r>
    </w:p>
    <w:p w14:paraId="77169F4D" w14:textId="77777777" w:rsidR="00C52373" w:rsidRPr="00C52373" w:rsidRDefault="00C52373" w:rsidP="00C52373">
      <w:pPr>
        <w:numPr>
          <w:ilvl w:val="0"/>
          <w:numId w:val="12"/>
        </w:numPr>
        <w:spacing w:before="100" w:beforeAutospacing="1" w:after="100" w:afterAutospacing="1"/>
      </w:pPr>
      <w:r w:rsidRPr="00C52373">
        <w:rPr>
          <w:b/>
          <w:bCs/>
        </w:rPr>
        <w:t>Censorship of Progressive Discourse:</w:t>
      </w:r>
      <w:r w:rsidRPr="00C52373">
        <w:t xml:space="preserve"> The Committee strongly critiques the rising tide of state-backed religious conservatism that shapes public media and school curricula. This environment often censors public discussion regarding taboo human rights issues, such as child marriage, female genital mutilation (FGM), and LGBTQ+ equality.</w:t>
      </w:r>
    </w:p>
    <w:p w14:paraId="39EA57AA" w14:textId="77777777" w:rsidR="00C52373" w:rsidRPr="00C52373" w:rsidRDefault="00C52373" w:rsidP="00C52373">
      <w:pPr>
        <w:numPr>
          <w:ilvl w:val="0"/>
          <w:numId w:val="12"/>
        </w:numPr>
        <w:spacing w:before="100" w:beforeAutospacing="1" w:after="100" w:afterAutospacing="1"/>
      </w:pPr>
      <w:r w:rsidRPr="00C52373">
        <w:rPr>
          <w:b/>
          <w:bCs/>
        </w:rPr>
        <w:t>The Committee's Mandate:</w:t>
      </w:r>
      <w:r w:rsidRPr="00C52373">
        <w:t xml:space="preserve"> The Committee routinely commands the Malaysian government to remove its foundational reservations to CEDAW, stop using religious discourse to block progressive public expression, and structurally reform textbooks and media programs to support secular, egalitarian human rights standards. [1, 4, 5, 6, 7] </w:t>
      </w:r>
    </w:p>
    <w:p w14:paraId="71059E57" w14:textId="77777777" w:rsidR="00C52373" w:rsidRPr="00C52373" w:rsidRDefault="00C52373" w:rsidP="00C52373"/>
    <w:p w14:paraId="7F987400" w14:textId="77777777" w:rsidR="00C52373" w:rsidRPr="00C52373" w:rsidRDefault="00C52373" w:rsidP="00C52373">
      <w:r w:rsidRPr="00C52373">
        <w:t xml:space="preserve">[1] </w:t>
      </w:r>
      <w:hyperlink r:id="rId15" w:history="1">
        <w:r w:rsidRPr="00C52373">
          <w:rPr>
            <w:color w:val="0000FF"/>
            <w:u w:val="single"/>
          </w:rPr>
          <w:t>https://familyfrontiers.org</w:t>
        </w:r>
      </w:hyperlink>
    </w:p>
    <w:p w14:paraId="16A722B5" w14:textId="77777777" w:rsidR="00C52373" w:rsidRPr="00C52373" w:rsidRDefault="00C52373" w:rsidP="00C52373">
      <w:r w:rsidRPr="00C52373">
        <w:t xml:space="preserve">[2] </w:t>
      </w:r>
      <w:hyperlink r:id="rId16" w:history="1">
        <w:r w:rsidRPr="00C52373">
          <w:rPr>
            <w:color w:val="0000FF"/>
            <w:u w:val="single"/>
          </w:rPr>
          <w:t>https://www.justsecurity.org</w:t>
        </w:r>
      </w:hyperlink>
    </w:p>
    <w:p w14:paraId="24EB333A" w14:textId="77777777" w:rsidR="00C52373" w:rsidRPr="00C52373" w:rsidRDefault="00C52373" w:rsidP="00C52373">
      <w:r w:rsidRPr="00C52373">
        <w:t xml:space="preserve">[3] </w:t>
      </w:r>
      <w:hyperlink r:id="rId17" w:history="1">
        <w:r w:rsidRPr="00C52373">
          <w:rPr>
            <w:color w:val="0000FF"/>
            <w:u w:val="single"/>
          </w:rPr>
          <w:t>https://elibrary.judiciary.gov.ph</w:t>
        </w:r>
      </w:hyperlink>
    </w:p>
    <w:p w14:paraId="6E18F7C2" w14:textId="77777777" w:rsidR="00C52373" w:rsidRPr="00C52373" w:rsidRDefault="00C52373" w:rsidP="00C52373">
      <w:r w:rsidRPr="00C52373">
        <w:t xml:space="preserve">[4] </w:t>
      </w:r>
      <w:hyperlink r:id="rId18" w:history="1">
        <w:r w:rsidRPr="00C52373">
          <w:rPr>
            <w:color w:val="0000FF"/>
            <w:u w:val="single"/>
          </w:rPr>
          <w:t>https://mcchr.org</w:t>
        </w:r>
      </w:hyperlink>
    </w:p>
    <w:p w14:paraId="4EE5B673" w14:textId="77777777" w:rsidR="00C52373" w:rsidRPr="00C52373" w:rsidRDefault="00C52373" w:rsidP="00C52373">
      <w:r w:rsidRPr="00C52373">
        <w:t xml:space="preserve">[5] </w:t>
      </w:r>
      <w:hyperlink r:id="rId19" w:history="1">
        <w:r w:rsidRPr="00C52373">
          <w:rPr>
            <w:color w:val="0000FF"/>
            <w:u w:val="single"/>
          </w:rPr>
          <w:t>https://www.jstor.org</w:t>
        </w:r>
      </w:hyperlink>
    </w:p>
    <w:p w14:paraId="5D95460C" w14:textId="77777777" w:rsidR="00C52373" w:rsidRPr="00C52373" w:rsidRDefault="00C52373" w:rsidP="00C52373">
      <w:r w:rsidRPr="00C52373">
        <w:t xml:space="preserve">[6] </w:t>
      </w:r>
      <w:hyperlink r:id="rId20" w:history="1">
        <w:r w:rsidRPr="00C52373">
          <w:rPr>
            <w:color w:val="0000FF"/>
            <w:u w:val="single"/>
          </w:rPr>
          <w:t>https://suhakam.org.my</w:t>
        </w:r>
      </w:hyperlink>
    </w:p>
    <w:p w14:paraId="42AD2642" w14:textId="77777777" w:rsidR="00C52373" w:rsidRPr="00C52373" w:rsidRDefault="00C52373" w:rsidP="00C52373">
      <w:r w:rsidRPr="00C52373">
        <w:t xml:space="preserve">[7] </w:t>
      </w:r>
      <w:hyperlink r:id="rId21" w:history="1">
        <w:r w:rsidRPr="00C52373">
          <w:rPr>
            <w:color w:val="0000FF"/>
            <w:u w:val="single"/>
          </w:rPr>
          <w:t>https://suhakam.org.my</w:t>
        </w:r>
      </w:hyperlink>
    </w:p>
    <w:p w14:paraId="13002250" w14:textId="77777777" w:rsidR="00C52373" w:rsidRDefault="00C52373"/>
    <w:p w14:paraId="1D6649E8" w14:textId="77777777" w:rsidR="00C52373" w:rsidRDefault="00C52373" w:rsidP="00C52373">
      <w:hyperlink r:id="rId22" w:history="1">
        <w:r>
          <w:rPr>
            <w:rStyle w:val="Hyperlink"/>
          </w:rPr>
          <w:t>Malaysia</w:t>
        </w:r>
      </w:hyperlink>
      <w:r>
        <w:t xml:space="preserve"> has aggressively updated its legal and regulatory frameworks to target digital conduct. The enforcement of the </w:t>
      </w:r>
      <w:r>
        <w:rPr>
          <w:b/>
          <w:bCs/>
        </w:rPr>
        <w:t>Anti-Sexual Harassment Act (ASHA) 2022</w:t>
      </w:r>
      <w:r>
        <w:t xml:space="preserve"> and the rollout of the sweeping </w:t>
      </w:r>
      <w:r>
        <w:rPr>
          <w:b/>
          <w:bCs/>
        </w:rPr>
        <w:t>Online Safety Act 2025</w:t>
      </w:r>
      <w:r>
        <w:t xml:space="preserve"> directly impact online speech. [1, 2] </w:t>
      </w:r>
    </w:p>
    <w:p w14:paraId="782E1CD3" w14:textId="77777777" w:rsidR="00C52373" w:rsidRDefault="00C52373" w:rsidP="00C52373">
      <w:r>
        <w:t xml:space="preserve">While these laws align with </w:t>
      </w:r>
      <w:r>
        <w:rPr>
          <w:b/>
          <w:bCs/>
        </w:rPr>
        <w:t>CEDAW’s mandate</w:t>
      </w:r>
      <w:r>
        <w:t xml:space="preserve"> to protect women from digital violence, civil society groups warn that they simultaneously strengthen state mechanisms to police free expression and online dissent. [3] </w:t>
      </w:r>
    </w:p>
    <w:p w14:paraId="1C14B8CD" w14:textId="77777777" w:rsidR="00C52373" w:rsidRDefault="00857F93" w:rsidP="00C52373">
      <w:r>
        <w:rPr>
          <w:noProof/>
        </w:rPr>
      </w:r>
      <w:r>
        <w:pict w14:anchorId="19BBD492">
          <v:rect id="Horizontal Line 3" o:spid="_x0000_s1027"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62024465" w14:textId="0AE1B0C6" w:rsidR="00C52373" w:rsidRDefault="00C52373" w:rsidP="00C52373">
      <w:pPr>
        <w:pStyle w:val="Heading2"/>
        <w:rPr>
          <w:sz w:val="30"/>
          <w:szCs w:val="30"/>
        </w:rPr>
      </w:pPr>
      <w:r>
        <w:rPr>
          <w:sz w:val="30"/>
          <w:szCs w:val="30"/>
        </w:rPr>
        <w:t>Anti-Sexual Harassment Act (ASHA) 2022</w:t>
      </w:r>
    </w:p>
    <w:p w14:paraId="7CB9C902" w14:textId="3B08CE92" w:rsidR="00C52373" w:rsidRDefault="00C52373" w:rsidP="00B916B7">
      <w:pPr>
        <w:rPr>
          <w:rFonts w:hint="eastAsia"/>
          <w:lang w:eastAsia="ko-KR"/>
        </w:rPr>
      </w:pPr>
      <w:r>
        <w:t xml:space="preserve">Though originally envisioned for workplace safety, ASHA explicitly recognizes and penalizes </w:t>
      </w:r>
      <w:r>
        <w:rPr>
          <w:b/>
          <w:bCs/>
        </w:rPr>
        <w:t>harassment occurring in digital spaces</w:t>
      </w:r>
      <w:r>
        <w:t xml:space="preserve">. [4] </w:t>
      </w:r>
    </w:p>
    <w:p w14:paraId="7E61488F" w14:textId="77777777" w:rsidR="00C52373" w:rsidRDefault="00C52373" w:rsidP="00C52373">
      <w:pPr>
        <w:numPr>
          <w:ilvl w:val="0"/>
          <w:numId w:val="14"/>
        </w:numPr>
        <w:spacing w:before="100" w:beforeAutospacing="1" w:after="100" w:afterAutospacing="1"/>
      </w:pPr>
      <w:r>
        <w:rPr>
          <w:b/>
          <w:bCs/>
        </w:rPr>
        <w:lastRenderedPageBreak/>
        <w:t>Defining Online Speech as Harassment:</w:t>
      </w:r>
      <w:r>
        <w:t xml:space="preserve"> The law defines sexual harassment broadly as </w:t>
      </w:r>
      <w:r>
        <w:rPr>
          <w:rStyle w:val="Emphasis"/>
        </w:rPr>
        <w:t>any</w:t>
      </w:r>
      <w:r>
        <w:t xml:space="preserve"> unwanted conduct of a sexual nature—including </w:t>
      </w:r>
      <w:r>
        <w:rPr>
          <w:b/>
          <w:bCs/>
        </w:rPr>
        <w:t>verbal, non-verbal, visual, or gestural conduct</w:t>
      </w:r>
      <w:r>
        <w:t xml:space="preserve">. This makes sending explicit direct messages, posting derogatory online comments, or distributing non-consensual intimate imagery (such as ex-partner photos) a trackable offense. [4, 5, 6, 7] </w:t>
      </w:r>
    </w:p>
    <w:p w14:paraId="7529994C" w14:textId="77777777" w:rsidR="00C52373" w:rsidRDefault="00C52373" w:rsidP="00C52373">
      <w:pPr>
        <w:numPr>
          <w:ilvl w:val="0"/>
          <w:numId w:val="14"/>
        </w:numPr>
        <w:spacing w:before="100" w:beforeAutospacing="1" w:after="100" w:afterAutospacing="1"/>
      </w:pPr>
      <w:r>
        <w:rPr>
          <w:b/>
          <w:bCs/>
        </w:rPr>
        <w:t>The Anti-Sexual Harassment Tribunal:</w:t>
      </w:r>
      <w:r>
        <w:t xml:space="preserve"> In March 2024, the government launched a specialized tribunal to bypass lengthy, expensive court battles. Victims of online harassment can represent themselves without a lawyer, and cases must be resolved within 60 days. The tribunal holds the authority to demand public apologies and award damages up to </w:t>
      </w:r>
      <w:r>
        <w:rPr>
          <w:b/>
          <w:bCs/>
        </w:rPr>
        <w:t>RM250,000</w:t>
      </w:r>
      <w:r>
        <w:t xml:space="preserve">. [1, 7, 8] </w:t>
      </w:r>
    </w:p>
    <w:p w14:paraId="68FF7BD9" w14:textId="42A8B3B2" w:rsidR="00C52373" w:rsidRDefault="00C52373" w:rsidP="00B916B7">
      <w:pPr>
        <w:numPr>
          <w:ilvl w:val="0"/>
          <w:numId w:val="14"/>
        </w:numPr>
        <w:spacing w:before="100" w:beforeAutospacing="1" w:after="100" w:afterAutospacing="1"/>
        <w:rPr>
          <w:rFonts w:hint="eastAsia"/>
        </w:rPr>
      </w:pPr>
      <w:r>
        <w:rPr>
          <w:b/>
          <w:bCs/>
        </w:rPr>
        <w:t>The Free Speech Friction:</w:t>
      </w:r>
      <w:r>
        <w:t xml:space="preserve"> While praised by groups like the Joint Action Group for Gender Equality (JAG), critics note that because the law relies on a subjective standard ("unwanted conduct"), it places heavy legal boundaries on what can be spoken or shared online. [6, 9] </w:t>
      </w:r>
    </w:p>
    <w:p w14:paraId="2C3F14A4" w14:textId="08EBDE5D" w:rsidR="00C52373" w:rsidRDefault="00C52373" w:rsidP="00C52373">
      <w:pPr>
        <w:pStyle w:val="Heading2"/>
        <w:rPr>
          <w:sz w:val="30"/>
          <w:szCs w:val="30"/>
        </w:rPr>
      </w:pPr>
      <w:r>
        <w:rPr>
          <w:sz w:val="30"/>
          <w:szCs w:val="30"/>
        </w:rPr>
        <w:t>Recent Media Regulations &amp; The Online Safety Act 2025</w:t>
      </w:r>
    </w:p>
    <w:p w14:paraId="3F56BCC1" w14:textId="2B1B7580" w:rsidR="00C52373" w:rsidRDefault="00C52373" w:rsidP="00B916B7">
      <w:pPr>
        <w:rPr>
          <w:rFonts w:hint="eastAsia"/>
          <w:lang w:eastAsia="ko-KR"/>
        </w:rPr>
      </w:pPr>
      <w:r>
        <w:t xml:space="preserve">Malaysia took its most aggressive step toward internet regulation when the </w:t>
      </w:r>
      <w:r>
        <w:rPr>
          <w:b/>
          <w:bCs/>
        </w:rPr>
        <w:t>Online Safety Act 2025 (OSA 2025)</w:t>
      </w:r>
      <w:r>
        <w:t xml:space="preserve"> officially took effect, accompanied by two strict regulatory frameworks launched by the Malaysian Communications and Multimedia Commission (MCMC): the </w:t>
      </w:r>
      <w:r>
        <w:rPr>
          <w:rStyle w:val="Emphasis"/>
        </w:rPr>
        <w:t>Child Protection Code</w:t>
      </w:r>
      <w:r>
        <w:t xml:space="preserve"> and the </w:t>
      </w:r>
      <w:r>
        <w:rPr>
          <w:rStyle w:val="Emphasis"/>
        </w:rPr>
        <w:t>Risk Mitigation Code</w:t>
      </w:r>
      <w:r>
        <w:t xml:space="preserve">. [2, 10] </w:t>
      </w:r>
    </w:p>
    <w:p w14:paraId="7D9402D0" w14:textId="77777777" w:rsidR="00C52373" w:rsidRDefault="00C52373" w:rsidP="00C52373">
      <w:pPr>
        <w:numPr>
          <w:ilvl w:val="0"/>
          <w:numId w:val="15"/>
        </w:numPr>
        <w:spacing w:before="100" w:beforeAutospacing="1" w:after="100" w:afterAutospacing="1"/>
      </w:pPr>
      <w:r>
        <w:rPr>
          <w:b/>
          <w:bCs/>
        </w:rPr>
        <w:t>Mandatory Government ID Verification:</w:t>
      </w:r>
      <w:r>
        <w:t xml:space="preserve"> All users on major social media platforms (Facebook, TikTok, Instagram, YouTube) are subjected to strict age and identity verification. Individuals under 16 are barred from opening new accounts, and all adult accounts must gradually verify their identity using official state documents like </w:t>
      </w:r>
      <w:r>
        <w:rPr>
          <w:b/>
          <w:bCs/>
        </w:rPr>
        <w:t>MyKad or passports</w:t>
      </w:r>
      <w:r>
        <w:t xml:space="preserve">. This effectively eliminates online anonymity—a double-edged sword that deters anonymous trolls but strips protection from whistleblowers and vulnerable minorities. [10, 11, 12] </w:t>
      </w:r>
    </w:p>
    <w:p w14:paraId="323CE970" w14:textId="77777777" w:rsidR="00C52373" w:rsidRDefault="00C52373" w:rsidP="00C52373">
      <w:pPr>
        <w:numPr>
          <w:ilvl w:val="0"/>
          <w:numId w:val="15"/>
        </w:numPr>
        <w:spacing w:before="100" w:beforeAutospacing="1" w:after="100" w:afterAutospacing="1"/>
      </w:pPr>
      <w:r>
        <w:rPr>
          <w:b/>
          <w:bCs/>
        </w:rPr>
        <w:t>Algorithmic Accountability for Harmful Speech:</w:t>
      </w:r>
      <w:r>
        <w:t xml:space="preserve"> Under the Risk Mitigation Code, platforms face fines up to </w:t>
      </w:r>
      <w:r>
        <w:rPr>
          <w:b/>
          <w:bCs/>
        </w:rPr>
        <w:t>RM10 million</w:t>
      </w:r>
      <w:r>
        <w:t xml:space="preserve"> if they do not aggressively adjust their algorithms to suppress cyberbullying, scams, and hate speech. Platforms are also legally forced to label manipulated or AI-generated deepfakes. [11, 12, 13] </w:t>
      </w:r>
    </w:p>
    <w:p w14:paraId="19FCEC69" w14:textId="46449CAF" w:rsidR="00C52373" w:rsidRDefault="00C52373" w:rsidP="00B916B7">
      <w:pPr>
        <w:numPr>
          <w:ilvl w:val="0"/>
          <w:numId w:val="15"/>
        </w:numPr>
        <w:spacing w:before="100" w:beforeAutospacing="1" w:after="100" w:afterAutospacing="1"/>
        <w:rPr>
          <w:rFonts w:hint="eastAsia"/>
        </w:rPr>
      </w:pPr>
      <w:r>
        <w:rPr>
          <w:b/>
          <w:bCs/>
        </w:rPr>
        <w:t>Complementing the CMA:</w:t>
      </w:r>
      <w:r>
        <w:t xml:space="preserve"> These regulations work alongside the historically controversial </w:t>
      </w:r>
      <w:r>
        <w:rPr>
          <w:b/>
          <w:bCs/>
        </w:rPr>
        <w:t>Section 233 of the Communications and Multimedia Act (CMA) 1998</w:t>
      </w:r>
      <w:r>
        <w:t xml:space="preserve">, which criminalizes online speech deemed "obscene, indecent, false, menacing, or offensive". [14] </w:t>
      </w:r>
    </w:p>
    <w:p w14:paraId="1706325E" w14:textId="35E69D02" w:rsidR="00C52373" w:rsidRDefault="00C52373" w:rsidP="00C52373">
      <w:pPr>
        <w:pStyle w:val="Heading2"/>
        <w:rPr>
          <w:sz w:val="30"/>
          <w:szCs w:val="30"/>
        </w:rPr>
      </w:pPr>
      <w:r>
        <w:rPr>
          <w:sz w:val="30"/>
          <w:szCs w:val="30"/>
        </w:rPr>
        <w:t>CEDAW Perspective vs. Civic Freedom</w:t>
      </w:r>
    </w:p>
    <w:tbl>
      <w:tblPr>
        <w:tblW w:w="5000" w:type="pct"/>
        <w:tblCellMar>
          <w:top w:w="15" w:type="dxa"/>
          <w:left w:w="15" w:type="dxa"/>
          <w:bottom w:w="15" w:type="dxa"/>
          <w:right w:w="15" w:type="dxa"/>
        </w:tblCellMar>
        <w:tblLook w:val="04A0" w:firstRow="1" w:lastRow="0" w:firstColumn="1" w:lastColumn="0" w:noHBand="0" w:noVBand="1"/>
      </w:tblPr>
      <w:tblGrid>
        <w:gridCol w:w="2039"/>
        <w:gridCol w:w="3571"/>
        <w:gridCol w:w="3730"/>
      </w:tblGrid>
      <w:tr w:rsidR="00C52373" w14:paraId="67D69BB7"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C6F8CB" w14:textId="77777777" w:rsidR="00C52373" w:rsidRDefault="00C52373">
            <w:pPr>
              <w:rPr>
                <w:b/>
                <w:bCs/>
              </w:rPr>
            </w:pPr>
            <w:r>
              <w:rPr>
                <w:b/>
                <w:bCs/>
              </w:rPr>
              <w:t>Regulatory Action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4369DF" w14:textId="77777777" w:rsidR="00C52373" w:rsidRDefault="00C52373">
            <w:pPr>
              <w:rPr>
                <w:b/>
                <w:bCs/>
              </w:rPr>
            </w:pPr>
            <w:r>
              <w:rPr>
                <w:b/>
                <w:bCs/>
              </w:rPr>
              <w:t>CEDAW Alignment (The "Empowering" View)</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417FF5" w14:textId="77777777" w:rsidR="00C52373" w:rsidRDefault="00C52373">
            <w:pPr>
              <w:rPr>
                <w:b/>
                <w:bCs/>
              </w:rPr>
            </w:pPr>
            <w:r>
              <w:rPr>
                <w:b/>
                <w:bCs/>
              </w:rPr>
              <w:t>Free Speech Concerns (The "Silencing" View)</w:t>
            </w:r>
          </w:p>
        </w:tc>
      </w:tr>
      <w:tr w:rsidR="00C52373" w14:paraId="19AA253A"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20A0C9" w14:textId="77777777" w:rsidR="00C52373" w:rsidRDefault="00C52373">
            <w:r>
              <w:rPr>
                <w:b/>
                <w:bCs/>
              </w:rPr>
              <w:t>Identity Verification &amp; Anonymity Bans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C508AD" w14:textId="77777777" w:rsidR="00C52373" w:rsidRDefault="00C52373">
            <w:r>
              <w:t>Strips anonymous trolls of their shields, reducing the volume of misogynistic cyberbullying and deepfakes targeting women.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EA9D87" w14:textId="77777777" w:rsidR="00C52373" w:rsidRDefault="00C52373">
            <w:r>
              <w:t>Forces absolute exposure. Activists, domestic abuse survivors, and LGBTQ+ groups can no longer hide their identities to speak safely.</w:t>
            </w:r>
          </w:p>
        </w:tc>
      </w:tr>
      <w:tr w:rsidR="00C52373" w14:paraId="6D0F145E"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62EC1A" w14:textId="77777777" w:rsidR="00C52373" w:rsidRDefault="00C52373">
            <w:r>
              <w:rPr>
                <w:b/>
                <w:bCs/>
              </w:rPr>
              <w:lastRenderedPageBreak/>
              <w:t>The Anti-Sexual Harassment Tribunal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08669C" w14:textId="77777777" w:rsidR="00C52373" w:rsidRDefault="00C52373">
            <w:r>
              <w:t>Delivers swift, affordable civil remedies for women silenced by digital intimidation and sexual extortion.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5514E3" w14:textId="77777777" w:rsidR="00C52373" w:rsidRDefault="00C52373">
            <w:r>
              <w:t>Broad definitions of "visual or verbal conduct" could be exploited to penalize progressive art, theater, or edgy online content.</w:t>
            </w:r>
          </w:p>
        </w:tc>
      </w:tr>
      <w:tr w:rsidR="00C52373" w14:paraId="17457088"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8D3F86" w14:textId="77777777" w:rsidR="00C52373" w:rsidRDefault="00C52373">
            <w:r>
              <w:rPr>
                <w:b/>
                <w:bCs/>
              </w:rPr>
              <w:t>Algorithmic Suppression of Harmful Content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CAEEBE" w14:textId="77777777" w:rsidR="00C52373" w:rsidRDefault="00C52373">
            <w:r>
              <w:t>Mandates that tech giants take ownership of content moderation, cleaning up toxic public squares.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35BAA0" w14:textId="77777777" w:rsidR="00C52373" w:rsidRDefault="00C52373">
            <w:r>
              <w:t>The state leverages these laws alongside the Sedition Act to suppress political dissent or religious topics under the guise of "maintaining online safety".</w:t>
            </w:r>
          </w:p>
        </w:tc>
      </w:tr>
    </w:tbl>
    <w:p w14:paraId="5DFAD42A" w14:textId="77777777" w:rsidR="00C52373" w:rsidRDefault="00C52373" w:rsidP="00C52373">
      <w:r>
        <w:t xml:space="preserve">While these laws successfully fulfill CEDAW's call to protect women from digital harm and secure their safety online, human rights monitors like the Centre for Independent Journalism (CIJ) Malaysia warn that the </w:t>
      </w:r>
      <w:r>
        <w:rPr>
          <w:b/>
          <w:bCs/>
        </w:rPr>
        <w:t>Madani unity government</w:t>
      </w:r>
      <w:r>
        <w:t xml:space="preserve"> frequently weaponizes these expansive speech restrictions. Vaguely worded online safety mandates can easily morph into tools for sweeping political censorship. [3] </w:t>
      </w:r>
    </w:p>
    <w:p w14:paraId="6FAF05D4" w14:textId="77777777" w:rsidR="00C52373" w:rsidRDefault="00C52373" w:rsidP="00C52373"/>
    <w:p w14:paraId="287F7F98" w14:textId="77777777" w:rsidR="00C52373" w:rsidRDefault="00C52373" w:rsidP="00C52373">
      <w:r>
        <w:t xml:space="preserve">[1] </w:t>
      </w:r>
      <w:hyperlink r:id="rId23" w:history="1">
        <w:r>
          <w:rPr>
            <w:rStyle w:val="Hyperlink"/>
          </w:rPr>
          <w:t>https://www.ohchr.org</w:t>
        </w:r>
      </w:hyperlink>
    </w:p>
    <w:p w14:paraId="3E4EA689" w14:textId="77777777" w:rsidR="00C52373" w:rsidRDefault="00C52373" w:rsidP="00C52373">
      <w:r>
        <w:t xml:space="preserve">[2] </w:t>
      </w:r>
      <w:hyperlink r:id="rId24" w:history="1">
        <w:r>
          <w:rPr>
            <w:rStyle w:val="Hyperlink"/>
          </w:rPr>
          <w:t>https://www.roedl.com</w:t>
        </w:r>
      </w:hyperlink>
    </w:p>
    <w:p w14:paraId="6A57B813" w14:textId="77777777" w:rsidR="00C52373" w:rsidRDefault="00C52373" w:rsidP="00C52373">
      <w:r>
        <w:t xml:space="preserve">[3] </w:t>
      </w:r>
      <w:hyperlink r:id="rId25" w:history="1">
        <w:r>
          <w:rPr>
            <w:rStyle w:val="Hyperlink"/>
          </w:rPr>
          <w:t>https://cijmalaysia.net</w:t>
        </w:r>
      </w:hyperlink>
    </w:p>
    <w:p w14:paraId="423D96BB" w14:textId="77777777" w:rsidR="00C52373" w:rsidRDefault="00C52373" w:rsidP="00C52373">
      <w:r>
        <w:t xml:space="preserve">[4] </w:t>
      </w:r>
      <w:hyperlink r:id="rId26" w:history="1">
        <w:r>
          <w:rPr>
            <w:rStyle w:val="Hyperlink"/>
          </w:rPr>
          <w:t>https://bernama.com</w:t>
        </w:r>
      </w:hyperlink>
    </w:p>
    <w:p w14:paraId="4FCC5801" w14:textId="77777777" w:rsidR="00C52373" w:rsidRDefault="00C52373" w:rsidP="00C52373">
      <w:r>
        <w:t xml:space="preserve">[5] </w:t>
      </w:r>
      <w:hyperlink r:id="rId27" w:history="1">
        <w:r>
          <w:rPr>
            <w:rStyle w:val="Hyperlink"/>
          </w:rPr>
          <w:t>https://www.youtube.com</w:t>
        </w:r>
      </w:hyperlink>
    </w:p>
    <w:p w14:paraId="6D58F08F" w14:textId="77777777" w:rsidR="00C52373" w:rsidRDefault="00C52373" w:rsidP="00C52373">
      <w:r>
        <w:t xml:space="preserve">[6] </w:t>
      </w:r>
      <w:hyperlink r:id="rId28" w:history="1">
        <w:r>
          <w:rPr>
            <w:rStyle w:val="Hyperlink"/>
          </w:rPr>
          <w:t>https://www.hsfkramer.com</w:t>
        </w:r>
      </w:hyperlink>
    </w:p>
    <w:p w14:paraId="081181C2" w14:textId="77777777" w:rsidR="00C52373" w:rsidRDefault="00C52373" w:rsidP="00C52373">
      <w:r>
        <w:t xml:space="preserve">[7] </w:t>
      </w:r>
      <w:hyperlink r:id="rId29" w:history="1">
        <w:r>
          <w:rPr>
            <w:rStyle w:val="Hyperlink"/>
          </w:rPr>
          <w:t>https://www.facebook.com</w:t>
        </w:r>
      </w:hyperlink>
    </w:p>
    <w:p w14:paraId="22ABA0DB" w14:textId="77777777" w:rsidR="00C52373" w:rsidRDefault="00C52373" w:rsidP="00C52373">
      <w:r>
        <w:t xml:space="preserve">[8] </w:t>
      </w:r>
      <w:hyperlink r:id="rId30" w:history="1">
        <w:r>
          <w:rPr>
            <w:rStyle w:val="Hyperlink"/>
          </w:rPr>
          <w:t>https://www.facebook.com</w:t>
        </w:r>
      </w:hyperlink>
    </w:p>
    <w:p w14:paraId="2D46BFEF" w14:textId="77777777" w:rsidR="00C52373" w:rsidRDefault="00C52373" w:rsidP="00C52373">
      <w:r>
        <w:t xml:space="preserve">[9] </w:t>
      </w:r>
      <w:hyperlink r:id="rId31" w:history="1">
        <w:r>
          <w:rPr>
            <w:rStyle w:val="Hyperlink"/>
          </w:rPr>
          <w:t>https://womensmediacenter.com</w:t>
        </w:r>
      </w:hyperlink>
    </w:p>
    <w:p w14:paraId="0E3E0D84" w14:textId="77777777" w:rsidR="00C52373" w:rsidRDefault="00C52373" w:rsidP="00C52373">
      <w:r>
        <w:t xml:space="preserve">[10] </w:t>
      </w:r>
      <w:hyperlink r:id="rId32" w:history="1">
        <w:r>
          <w:rPr>
            <w:rStyle w:val="Hyperlink"/>
          </w:rPr>
          <w:t>https://www.scmp.com</w:t>
        </w:r>
      </w:hyperlink>
    </w:p>
    <w:p w14:paraId="7D9944AF" w14:textId="77777777" w:rsidR="00C52373" w:rsidRDefault="00C52373" w:rsidP="00C52373">
      <w:r>
        <w:t xml:space="preserve">[11] </w:t>
      </w:r>
      <w:hyperlink r:id="rId33" w:history="1">
        <w:r>
          <w:rPr>
            <w:rStyle w:val="Hyperlink"/>
          </w:rPr>
          <w:t>https://www.facebook.com</w:t>
        </w:r>
      </w:hyperlink>
    </w:p>
    <w:p w14:paraId="7BECF591" w14:textId="77777777" w:rsidR="00C52373" w:rsidRDefault="00C52373" w:rsidP="00C52373">
      <w:r>
        <w:t xml:space="preserve">[12] </w:t>
      </w:r>
      <w:hyperlink r:id="rId34" w:history="1">
        <w:r>
          <w:rPr>
            <w:rStyle w:val="Hyperlink"/>
          </w:rPr>
          <w:t>https://en.vietnamplus.vn</w:t>
        </w:r>
      </w:hyperlink>
    </w:p>
    <w:p w14:paraId="4C95AF97" w14:textId="77777777" w:rsidR="00C52373" w:rsidRDefault="00C52373" w:rsidP="00C52373">
      <w:r>
        <w:t xml:space="preserve">[13] </w:t>
      </w:r>
      <w:hyperlink r:id="rId35" w:history="1">
        <w:r>
          <w:rPr>
            <w:rStyle w:val="Hyperlink"/>
          </w:rPr>
          <w:t>https://www.malaymail.com</w:t>
        </w:r>
      </w:hyperlink>
    </w:p>
    <w:p w14:paraId="257E0DB2" w14:textId="77777777" w:rsidR="00C52373" w:rsidRDefault="00C52373" w:rsidP="00C52373">
      <w:r>
        <w:t xml:space="preserve">[14] </w:t>
      </w:r>
      <w:hyperlink r:id="rId36" w:history="1">
        <w:r>
          <w:rPr>
            <w:rStyle w:val="Hyperlink"/>
          </w:rPr>
          <w:t>https://mcchr.org</w:t>
        </w:r>
      </w:hyperlink>
    </w:p>
    <w:p w14:paraId="5D6D1A73" w14:textId="77777777" w:rsidR="00C52373" w:rsidRDefault="00C52373"/>
    <w:p w14:paraId="4EEA5BD0" w14:textId="77777777" w:rsidR="00C52373" w:rsidRDefault="00C52373" w:rsidP="00C52373">
      <w:r>
        <w:t xml:space="preserve">To fulfill </w:t>
      </w:r>
      <w:r>
        <w:rPr>
          <w:b/>
          <w:bCs/>
        </w:rPr>
        <w:t>Article 5 of CEDAW</w:t>
      </w:r>
      <w:r>
        <w:t xml:space="preserve">, which legally binds countries to modify social and cultural patterns and eliminate gender stereotypes, many nations have translated this international mandate into domestic statutory law. [1] </w:t>
      </w:r>
    </w:p>
    <w:p w14:paraId="0FD11468" w14:textId="77777777" w:rsidR="00C52373" w:rsidRDefault="00C52373" w:rsidP="00C52373">
      <w:r>
        <w:t xml:space="preserve">Because commercial media is one of the most powerful reinforcers of culture, a major legal trend has been the </w:t>
      </w:r>
      <w:r>
        <w:rPr>
          <w:b/>
          <w:bCs/>
        </w:rPr>
        <w:t>prohibition of sexist advertising, objectification, and rigid gender roles</w:t>
      </w:r>
      <w:r>
        <w:t>.</w:t>
      </w:r>
    </w:p>
    <w:p w14:paraId="63088517" w14:textId="77777777" w:rsidR="00C52373" w:rsidRDefault="00C52373" w:rsidP="00C52373">
      <w:r>
        <w:t>The following examples demonstrate how different countries enforce Article 5 across public media and commercial speech:</w:t>
      </w:r>
    </w:p>
    <w:p w14:paraId="58E69CBE" w14:textId="2A63A409" w:rsidR="00C52373" w:rsidRDefault="00C52373" w:rsidP="00C52373">
      <w:pPr>
        <w:pStyle w:val="Heading2"/>
        <w:rPr>
          <w:sz w:val="30"/>
          <w:szCs w:val="30"/>
        </w:rPr>
      </w:pPr>
      <w:hyperlink r:id="rId37" w:history="1">
        <w:r>
          <w:rPr>
            <w:rStyle w:val="Hyperlink"/>
            <w:sz w:val="30"/>
            <w:szCs w:val="30"/>
          </w:rPr>
          <w:t>United Kingdom</w:t>
        </w:r>
      </w:hyperlink>
      <w:r>
        <w:rPr>
          <w:sz w:val="30"/>
          <w:szCs w:val="30"/>
        </w:rPr>
        <w:t>: The Code of Non-Broadcast and Broadcast Advertising (CAP/BCAP Codes)</w:t>
      </w:r>
    </w:p>
    <w:p w14:paraId="119B67CA" w14:textId="688FF312" w:rsidR="00C52373" w:rsidRDefault="00C52373" w:rsidP="00B916B7">
      <w:pPr>
        <w:rPr>
          <w:rFonts w:hint="eastAsia"/>
          <w:lang w:eastAsia="ko-KR"/>
        </w:rPr>
      </w:pPr>
      <w:r>
        <w:t xml:space="preserve">The UK ratified CEDAW in 1986. Following regular compliance reviews where the UN commended the step, the UK's </w:t>
      </w:r>
      <w:hyperlink r:id="rId38" w:history="1">
        <w:r>
          <w:rPr>
            <w:rStyle w:val="Hyperlink"/>
          </w:rPr>
          <w:t>Advertising Standards Authority (ASA)</w:t>
        </w:r>
      </w:hyperlink>
      <w:r>
        <w:t xml:space="preserve"> introduced a sweeping, landmark ban on "harmful gender stereotypes". [2, 3, 4] </w:t>
      </w:r>
    </w:p>
    <w:p w14:paraId="11E97C5D" w14:textId="77777777" w:rsidR="00C52373" w:rsidRDefault="00C52373" w:rsidP="00C52373">
      <w:pPr>
        <w:numPr>
          <w:ilvl w:val="0"/>
          <w:numId w:val="17"/>
        </w:numPr>
        <w:spacing w:before="100" w:beforeAutospacing="1" w:after="100" w:afterAutospacing="1"/>
      </w:pPr>
      <w:r>
        <w:rPr>
          <w:b/>
          <w:bCs/>
        </w:rPr>
        <w:lastRenderedPageBreak/>
        <w:t>The Law:</w:t>
      </w:r>
      <w:r>
        <w:t xml:space="preserve"> Under rules implemented by the Committees of Advertising Practice (CAP), advertisements must not depict gender stereotypes that are likely to cause harm or widespread offense. [3, 5] </w:t>
      </w:r>
    </w:p>
    <w:p w14:paraId="5DE2A2DB" w14:textId="30EBB723" w:rsidR="00C52373" w:rsidRDefault="00C52373" w:rsidP="00B916B7">
      <w:pPr>
        <w:numPr>
          <w:ilvl w:val="0"/>
          <w:numId w:val="17"/>
        </w:numPr>
        <w:spacing w:before="100" w:beforeAutospacing="1" w:after="100" w:afterAutospacing="1"/>
        <w:rPr>
          <w:rFonts w:hint="eastAsia"/>
        </w:rPr>
      </w:pPr>
      <w:r>
        <w:rPr>
          <w:b/>
          <w:bCs/>
        </w:rPr>
        <w:t>Real-World Enforcement:</w:t>
      </w:r>
      <w:r>
        <w:t xml:space="preserve"> In its very first rulings, the ASA banned a </w:t>
      </w:r>
      <w:r>
        <w:rPr>
          <w:b/>
          <w:bCs/>
        </w:rPr>
        <w:t>Volkswagen</w:t>
      </w:r>
      <w:r>
        <w:t xml:space="preserve"> commercial for showing passive women next to baby strollers while men were shown as active astronauts and adventurers. It simultaneously banned a </w:t>
      </w:r>
      <w:r>
        <w:rPr>
          <w:b/>
          <w:bCs/>
        </w:rPr>
        <w:t>Philadelphia Cream Cheese</w:t>
      </w:r>
      <w:r>
        <w:t xml:space="preserve"> ad because it portrayed two fathers as bumbling and unable to care for their babies, reinforcing the stereotype that men cannot be competent primary caregivers. [2, 6] </w:t>
      </w:r>
    </w:p>
    <w:p w14:paraId="5A8E8133" w14:textId="625CA52E" w:rsidR="00C52373" w:rsidRDefault="00C52373" w:rsidP="00C52373">
      <w:pPr>
        <w:pStyle w:val="Heading2"/>
        <w:rPr>
          <w:sz w:val="30"/>
          <w:szCs w:val="30"/>
        </w:rPr>
      </w:pPr>
      <w:r>
        <w:fldChar w:fldCharType="begin"/>
      </w:r>
      <w:r>
        <w:instrText>HYPERLINK "https://www.google.com/search?q=Spain&amp;kgmid=/hkb/Cg4KCGxhbmd1YWdlEgJlbgoTCgR0eXBlEgtMT0NBTF9QTEFDRQoUCgtlbnRpdHlfbmFtZRIFc3BhaW4%3D"</w:instrText>
      </w:r>
      <w:r>
        <w:fldChar w:fldCharType="separate"/>
      </w:r>
      <w:r>
        <w:rPr>
          <w:rStyle w:val="Hyperlink"/>
          <w:sz w:val="30"/>
          <w:szCs w:val="30"/>
        </w:rPr>
        <w:t>Spain</w:t>
      </w:r>
      <w:r>
        <w:fldChar w:fldCharType="end"/>
      </w:r>
      <w:r>
        <w:rPr>
          <w:sz w:val="30"/>
          <w:szCs w:val="30"/>
        </w:rPr>
        <w:t>: The Organic Law on Integrated Protection Measures against Gender Violence (2004)</w:t>
      </w:r>
    </w:p>
    <w:p w14:paraId="0DEA6E16" w14:textId="7E087105" w:rsidR="00C52373" w:rsidRDefault="00C52373" w:rsidP="00B916B7">
      <w:pPr>
        <w:rPr>
          <w:rFonts w:hint="eastAsia"/>
          <w:lang w:eastAsia="ko-KR"/>
        </w:rPr>
      </w:pPr>
      <w:hyperlink r:id="rId39" w:history="1">
        <w:r>
          <w:rPr>
            <w:rStyle w:val="Hyperlink"/>
          </w:rPr>
          <w:t>Spain</w:t>
        </w:r>
      </w:hyperlink>
      <w:r>
        <w:t xml:space="preserve"> has some of the most robust, explicitly codified statutory legislation linking commercial speech to gender-based discrimination under CEDAW standards.</w:t>
      </w:r>
    </w:p>
    <w:p w14:paraId="758DFB3C" w14:textId="77777777" w:rsidR="00C52373" w:rsidRDefault="00C52373" w:rsidP="00C52373">
      <w:pPr>
        <w:numPr>
          <w:ilvl w:val="0"/>
          <w:numId w:val="18"/>
        </w:numPr>
        <w:spacing w:before="100" w:beforeAutospacing="1" w:after="100" w:afterAutospacing="1"/>
      </w:pPr>
      <w:r>
        <w:rPr>
          <w:b/>
          <w:bCs/>
        </w:rPr>
        <w:t>The Law:</w:t>
      </w:r>
      <w:r>
        <w:t xml:space="preserve"> Article 10 of Spain’s 2004 Gender Violence Act explicitly classifies sexist advertising as illegal. The law targets any marketing material that uses a woman's body as a completely detached, objectified instrument to sell an unrelated product, or any ad that associates a woman’s image with behavior that encourages gender-based violence or severe subordination. [7] </w:t>
      </w:r>
    </w:p>
    <w:p w14:paraId="1839B9C0" w14:textId="2BDFD731" w:rsidR="00C52373" w:rsidRDefault="00C52373" w:rsidP="00B916B7">
      <w:pPr>
        <w:numPr>
          <w:ilvl w:val="0"/>
          <w:numId w:val="18"/>
        </w:numPr>
        <w:spacing w:before="100" w:beforeAutospacing="1" w:after="100" w:afterAutospacing="1"/>
        <w:rPr>
          <w:rFonts w:hint="eastAsia"/>
        </w:rPr>
      </w:pPr>
      <w:r>
        <w:rPr>
          <w:b/>
          <w:bCs/>
        </w:rPr>
        <w:t>Real-World Enforcement:</w:t>
      </w:r>
      <w:r>
        <w:t xml:space="preserve"> Coordinated alongside </w:t>
      </w:r>
      <w:hyperlink r:id="rId40" w:history="1">
        <w:r>
          <w:rPr>
            <w:rStyle w:val="Hyperlink"/>
          </w:rPr>
          <w:t>Autocontrol</w:t>
        </w:r>
      </w:hyperlink>
      <w:r>
        <w:t xml:space="preserve">, Spain’s independent advertising self-regulatory organization, the state regularly sanctions brands utilizing hyper-sexualized depictions of women to market industrial tools, automotive services, or alcohol. [7] </w:t>
      </w:r>
    </w:p>
    <w:p w14:paraId="7997C66D" w14:textId="1DF78531" w:rsidR="00C52373" w:rsidRDefault="00C52373" w:rsidP="00C52373">
      <w:pPr>
        <w:pStyle w:val="Heading2"/>
        <w:rPr>
          <w:sz w:val="30"/>
          <w:szCs w:val="30"/>
        </w:rPr>
      </w:pPr>
      <w:hyperlink r:id="rId41" w:history="1">
        <w:r>
          <w:rPr>
            <w:rStyle w:val="Hyperlink"/>
            <w:sz w:val="30"/>
            <w:szCs w:val="30"/>
          </w:rPr>
          <w:t>Germany</w:t>
        </w:r>
      </w:hyperlink>
      <w:r>
        <w:rPr>
          <w:sz w:val="30"/>
          <w:szCs w:val="30"/>
        </w:rPr>
        <w:t>: The Act on Equal Status for Women and Men &amp; Municipal Restrictions</w:t>
      </w:r>
    </w:p>
    <w:p w14:paraId="0BAAC52D" w14:textId="0485E176" w:rsidR="00C52373" w:rsidRDefault="00C52373" w:rsidP="00B916B7">
      <w:pPr>
        <w:rPr>
          <w:rFonts w:hint="eastAsia"/>
          <w:lang w:eastAsia="ko-KR"/>
        </w:rPr>
      </w:pPr>
      <w:hyperlink r:id="rId42" w:history="1">
        <w:r>
          <w:rPr>
            <w:rStyle w:val="Hyperlink"/>
          </w:rPr>
          <w:t>Germany</w:t>
        </w:r>
      </w:hyperlink>
      <w:r>
        <w:t xml:space="preserve"> leverages a dual mechanism of federal anti-discrimination laws and aggressive municipal bans to restrict sexist imagery in public spheres.</w:t>
      </w:r>
    </w:p>
    <w:p w14:paraId="315B0419" w14:textId="77777777" w:rsidR="00C52373" w:rsidRDefault="00C52373" w:rsidP="00C52373">
      <w:pPr>
        <w:numPr>
          <w:ilvl w:val="0"/>
          <w:numId w:val="19"/>
        </w:numPr>
        <w:spacing w:before="100" w:beforeAutospacing="1" w:after="100" w:afterAutospacing="1"/>
      </w:pPr>
      <w:r>
        <w:rPr>
          <w:b/>
          <w:bCs/>
        </w:rPr>
        <w:t>The Law:</w:t>
      </w:r>
      <w:r>
        <w:t xml:space="preserve"> Under federal frameworks, German advertising watchdogs monitor public spaces. Cities like </w:t>
      </w:r>
      <w:r>
        <w:rPr>
          <w:b/>
          <w:bCs/>
        </w:rPr>
        <w:t>Berlin</w:t>
      </w:r>
      <w:r>
        <w:t xml:space="preserve"> went a step further by implementing structural bans on misogynistic, sexualized, and degrading imagery on all publicly owned billboard spaces, bus stops, and metropolitan ad hubs.</w:t>
      </w:r>
    </w:p>
    <w:p w14:paraId="547993AF" w14:textId="5353A2D7" w:rsidR="00C52373" w:rsidRDefault="00C52373" w:rsidP="00B916B7">
      <w:pPr>
        <w:numPr>
          <w:ilvl w:val="0"/>
          <w:numId w:val="19"/>
        </w:numPr>
        <w:spacing w:before="100" w:beforeAutospacing="1" w:after="100" w:afterAutospacing="1"/>
        <w:rPr>
          <w:rFonts w:hint="eastAsia"/>
        </w:rPr>
      </w:pPr>
      <w:r>
        <w:rPr>
          <w:b/>
          <w:bCs/>
        </w:rPr>
        <w:t>Real-World Enforcement:</w:t>
      </w:r>
      <w:r>
        <w:t xml:space="preserve"> The regulations explicitly forbid the depiction of women as physically submissive, domestic servants trapped in stereotypical cleaning roles while men relax, or models reduced to purely sexual objects to capture public attention on municipal property. [8, 9] </w:t>
      </w:r>
    </w:p>
    <w:p w14:paraId="5723752B" w14:textId="43C55184" w:rsidR="00C52373" w:rsidRDefault="00C52373" w:rsidP="00C52373">
      <w:pPr>
        <w:pStyle w:val="Heading2"/>
        <w:rPr>
          <w:sz w:val="30"/>
          <w:szCs w:val="30"/>
        </w:rPr>
      </w:pPr>
      <w:hyperlink r:id="rId43" w:history="1">
        <w:r>
          <w:rPr>
            <w:rStyle w:val="Hyperlink"/>
            <w:sz w:val="30"/>
            <w:szCs w:val="30"/>
          </w:rPr>
          <w:t>France</w:t>
        </w:r>
      </w:hyperlink>
      <w:r>
        <w:rPr>
          <w:sz w:val="30"/>
          <w:szCs w:val="30"/>
        </w:rPr>
        <w:t>: The Equality and Citizenship Law (2017)</w:t>
      </w:r>
    </w:p>
    <w:p w14:paraId="31E4F7C1" w14:textId="5DF50824" w:rsidR="00C52373" w:rsidRDefault="00C52373" w:rsidP="00B916B7">
      <w:pPr>
        <w:rPr>
          <w:rFonts w:hint="eastAsia"/>
          <w:lang w:eastAsia="ko-KR"/>
        </w:rPr>
      </w:pPr>
      <w:hyperlink r:id="rId44" w:history="1">
        <w:r>
          <w:rPr>
            <w:rStyle w:val="Hyperlink"/>
          </w:rPr>
          <w:t>France</w:t>
        </w:r>
      </w:hyperlink>
      <w:r>
        <w:t xml:space="preserve"> operates on strict media regulations managed by the state's broadcasting regulator, the </w:t>
      </w:r>
      <w:r>
        <w:rPr>
          <w:rStyle w:val="Emphasis"/>
        </w:rPr>
        <w:t>Autorité de régulation de la communication audiovisuelle et numérique (Arcom)</w:t>
      </w:r>
      <w:r>
        <w:t>.</w:t>
      </w:r>
    </w:p>
    <w:p w14:paraId="3801817A" w14:textId="77777777" w:rsidR="00C52373" w:rsidRDefault="00C52373" w:rsidP="00C52373">
      <w:pPr>
        <w:numPr>
          <w:ilvl w:val="0"/>
          <w:numId w:val="20"/>
        </w:numPr>
        <w:spacing w:before="100" w:beforeAutospacing="1" w:after="100" w:afterAutospacing="1"/>
      </w:pPr>
      <w:r>
        <w:rPr>
          <w:b/>
          <w:bCs/>
        </w:rPr>
        <w:t>The Law:</w:t>
      </w:r>
      <w:r>
        <w:t xml:space="preserve"> Built to adhere to systemic UN human rights recommendations, French law grants the state regulatory body the direct power to police and penalize broadcasters who air distribution materials, television programs, or marketing campaigns containing sexist biases or degrading depictions of women.</w:t>
      </w:r>
    </w:p>
    <w:p w14:paraId="692FD5AF" w14:textId="10A689FF" w:rsidR="00C52373" w:rsidRDefault="00C52373" w:rsidP="00B916B7">
      <w:pPr>
        <w:numPr>
          <w:ilvl w:val="0"/>
          <w:numId w:val="20"/>
        </w:numPr>
        <w:spacing w:before="100" w:beforeAutospacing="1" w:after="100" w:afterAutospacing="1"/>
        <w:rPr>
          <w:rFonts w:hint="eastAsia"/>
        </w:rPr>
      </w:pPr>
      <w:r>
        <w:rPr>
          <w:b/>
          <w:bCs/>
        </w:rPr>
        <w:lastRenderedPageBreak/>
        <w:t>Real-World Enforcement:</w:t>
      </w:r>
      <w:r>
        <w:t xml:space="preserve"> Arcom routinely issues formal warnings, hefty financial penalties, and mandates public retractions to broadcasting networks that host reality television shows or commercials displaying casual misogyny, body-shaming, or non-consensual objectification of female participants.</w:t>
      </w:r>
    </w:p>
    <w:p w14:paraId="6B2591C8" w14:textId="77777777" w:rsidR="00C52373" w:rsidRDefault="00857F93" w:rsidP="00C52373">
      <w:r>
        <w:pict w14:anchorId="1694B0C1">
          <v:rect id="Horizontal Line 12" o:spid="_x0000_s1026" alt="" style="width:468pt;height:.3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B56A57D" w14:textId="77777777" w:rsidR="00C52373" w:rsidRDefault="00C52373" w:rsidP="00C52373">
      <w:pPr>
        <w:pStyle w:val="Heading2"/>
        <w:rPr>
          <w:sz w:val="30"/>
          <w:szCs w:val="30"/>
        </w:rPr>
      </w:pPr>
      <w:r>
        <w:rPr>
          <w:sz w:val="30"/>
          <w:szCs w:val="30"/>
        </w:rPr>
        <w:t>Direct Comparison of Regulatory Approaches</w:t>
      </w:r>
    </w:p>
    <w:tbl>
      <w:tblPr>
        <w:tblW w:w="5000" w:type="pct"/>
        <w:tblCellMar>
          <w:top w:w="15" w:type="dxa"/>
          <w:left w:w="15" w:type="dxa"/>
          <w:bottom w:w="15" w:type="dxa"/>
          <w:right w:w="15" w:type="dxa"/>
        </w:tblCellMar>
        <w:tblLook w:val="04A0" w:firstRow="1" w:lastRow="0" w:firstColumn="1" w:lastColumn="0" w:noHBand="0" w:noVBand="1"/>
      </w:tblPr>
      <w:tblGrid>
        <w:gridCol w:w="1304"/>
        <w:gridCol w:w="2239"/>
        <w:gridCol w:w="3305"/>
        <w:gridCol w:w="2492"/>
      </w:tblGrid>
      <w:tr w:rsidR="00C52373" w14:paraId="7BE9C324"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175B3D" w14:textId="77777777" w:rsidR="00C52373" w:rsidRDefault="00C52373">
            <w:pPr>
              <w:rPr>
                <w:b/>
                <w:bCs/>
              </w:rPr>
            </w:pPr>
            <w:r>
              <w:rPr>
                <w:b/>
                <w:bCs/>
              </w:rPr>
              <w:t>Country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142128" w14:textId="77777777" w:rsidR="00C52373" w:rsidRDefault="00C52373">
            <w:pPr>
              <w:rPr>
                <w:b/>
                <w:bCs/>
              </w:rPr>
            </w:pPr>
            <w:r>
              <w:rPr>
                <w:b/>
                <w:bCs/>
              </w:rPr>
              <w:t>Legal Mechanism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48C7E3" w14:textId="77777777" w:rsidR="00C52373" w:rsidRDefault="00C52373">
            <w:pPr>
              <w:rPr>
                <w:b/>
                <w:bCs/>
              </w:rPr>
            </w:pPr>
            <w:r>
              <w:rPr>
                <w:b/>
                <w:bCs/>
              </w:rPr>
              <w:t>Core Target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290676" w14:textId="77777777" w:rsidR="00C52373" w:rsidRDefault="00C52373">
            <w:pPr>
              <w:rPr>
                <w:b/>
                <w:bCs/>
              </w:rPr>
            </w:pPr>
            <w:r>
              <w:rPr>
                <w:b/>
                <w:bCs/>
              </w:rPr>
              <w:t>Primary Penalty</w:t>
            </w:r>
          </w:p>
        </w:tc>
      </w:tr>
      <w:tr w:rsidR="00C52373" w14:paraId="572990B0"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F03A08" w14:textId="77777777" w:rsidR="00C52373" w:rsidRDefault="00C52373">
            <w:hyperlink r:id="rId45" w:history="1">
              <w:r>
                <w:rPr>
                  <w:rStyle w:val="Hyperlink"/>
                  <w:b/>
                  <w:bCs/>
                </w:rPr>
                <w:t>United Kingdom</w:t>
              </w:r>
            </w:hyperlink>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EF2BC9" w14:textId="77777777" w:rsidR="00C52373" w:rsidRDefault="00C52373">
            <w:r>
              <w:t>Statutory Co-Regulation (ASA/CAP)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6F808D" w14:textId="77777777" w:rsidR="00C52373" w:rsidRDefault="00C52373">
            <w:r>
              <w:t>Ads drawing clear lines between active men and passive women, or mocking parental capability based on gender.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A3ACD1" w14:textId="77777777" w:rsidR="00C52373" w:rsidRDefault="00C52373">
            <w:r>
              <w:t>Immediate media ban and public blacklisting of the ad campaign.</w:t>
            </w:r>
          </w:p>
        </w:tc>
      </w:tr>
      <w:tr w:rsidR="00C52373" w14:paraId="4496202A"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A083B4" w14:textId="77777777" w:rsidR="00C52373" w:rsidRDefault="00C52373">
            <w:hyperlink r:id="rId46" w:history="1">
              <w:r>
                <w:rPr>
                  <w:rStyle w:val="Hyperlink"/>
                  <w:b/>
                  <w:bCs/>
                </w:rPr>
                <w:t>Spain</w:t>
              </w:r>
            </w:hyperlink>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E99370" w14:textId="77777777" w:rsidR="00C52373" w:rsidRDefault="00C52373">
            <w:r>
              <w:t>Codified Criminal/Civil Law (Gender Violence Act)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CA240E" w14:textId="77777777" w:rsidR="00C52373" w:rsidRDefault="00C52373">
            <w:r>
              <w:t>Detaching a woman's body from a product; promoting subordination or submissive behavior.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D5E3EF" w14:textId="77777777" w:rsidR="00C52373" w:rsidRDefault="00C52373">
            <w:r>
              <w:t>Heavy civil fines, forced removal, and potential litigation.</w:t>
            </w:r>
          </w:p>
        </w:tc>
      </w:tr>
      <w:tr w:rsidR="00C52373" w14:paraId="00A0BD56"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5CCB04" w14:textId="77777777" w:rsidR="00C52373" w:rsidRDefault="00C52373">
            <w:hyperlink r:id="rId47" w:history="1">
              <w:r>
                <w:rPr>
                  <w:rStyle w:val="Hyperlink"/>
                  <w:b/>
                  <w:bCs/>
                </w:rPr>
                <w:t>Germany</w:t>
              </w:r>
            </w:hyperlink>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E53789" w14:textId="77777777" w:rsidR="00C52373" w:rsidRDefault="00C52373">
            <w:r>
              <w:t>Municipal Restrictions &amp; Federal Codes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906FDD" w14:textId="77777777" w:rsidR="00C52373" w:rsidRDefault="00C52373">
            <w:r>
              <w:t>Publicly displayed objectification, degradation, or reduction of women to domestic-only roles on state property.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205D1B" w14:textId="77777777" w:rsidR="00C52373" w:rsidRDefault="00C52373">
            <w:r>
              <w:t>Revocation of ad-space permits; immediate physical removal from public spaces.</w:t>
            </w:r>
          </w:p>
        </w:tc>
      </w:tr>
    </w:tbl>
    <w:p w14:paraId="10E3DB26" w14:textId="77777777" w:rsidR="00C52373" w:rsidRDefault="00C52373" w:rsidP="00C52373"/>
    <w:p w14:paraId="105AFA94" w14:textId="77777777" w:rsidR="00C52373" w:rsidRDefault="00C52373" w:rsidP="00C52373">
      <w:r>
        <w:t xml:space="preserve">[1] </w:t>
      </w:r>
      <w:hyperlink r:id="rId48" w:history="1">
        <w:r>
          <w:rPr>
            <w:rStyle w:val="Hyperlink"/>
          </w:rPr>
          <w:t>https://www.ohchr.org</w:t>
        </w:r>
      </w:hyperlink>
    </w:p>
    <w:p w14:paraId="0D4BB4F8" w14:textId="77777777" w:rsidR="00C52373" w:rsidRDefault="00C52373" w:rsidP="00C52373">
      <w:r>
        <w:t xml:space="preserve">[2] </w:t>
      </w:r>
      <w:hyperlink r:id="rId49" w:history="1">
        <w:r>
          <w:rPr>
            <w:rStyle w:val="Hyperlink"/>
          </w:rPr>
          <w:t>https://www.dw.com</w:t>
        </w:r>
      </w:hyperlink>
    </w:p>
    <w:p w14:paraId="2C6A4039" w14:textId="77777777" w:rsidR="00C52373" w:rsidRDefault="00C52373" w:rsidP="00C52373">
      <w:r>
        <w:t xml:space="preserve">[3] </w:t>
      </w:r>
      <w:hyperlink r:id="rId50" w:history="1">
        <w:r>
          <w:rPr>
            <w:rStyle w:val="Hyperlink"/>
          </w:rPr>
          <w:t>https://www.wrc.org.uk</w:t>
        </w:r>
      </w:hyperlink>
    </w:p>
    <w:p w14:paraId="032E920B" w14:textId="77777777" w:rsidR="00C52373" w:rsidRDefault="00C52373" w:rsidP="00C52373">
      <w:r>
        <w:t xml:space="preserve">[4] </w:t>
      </w:r>
      <w:hyperlink r:id="rId51" w:history="1">
        <w:r>
          <w:rPr>
            <w:rStyle w:val="Hyperlink"/>
          </w:rPr>
          <w:t>https://www.media-diversity.org</w:t>
        </w:r>
      </w:hyperlink>
    </w:p>
    <w:p w14:paraId="2CA5607A" w14:textId="77777777" w:rsidR="00C52373" w:rsidRDefault="00C52373" w:rsidP="00C52373">
      <w:r>
        <w:t xml:space="preserve">[5] </w:t>
      </w:r>
      <w:hyperlink r:id="rId52" w:history="1">
        <w:r>
          <w:rPr>
            <w:rStyle w:val="Hyperlink"/>
          </w:rPr>
          <w:t>https://www.marketingweek.com</w:t>
        </w:r>
      </w:hyperlink>
    </w:p>
    <w:p w14:paraId="5F72EFCD" w14:textId="77777777" w:rsidR="00C52373" w:rsidRDefault="00C52373" w:rsidP="00C52373">
      <w:r>
        <w:t xml:space="preserve">[6] </w:t>
      </w:r>
      <w:hyperlink r:id="rId53" w:history="1">
        <w:r>
          <w:rPr>
            <w:rStyle w:val="Hyperlink"/>
          </w:rPr>
          <w:t>https://www.theguardian.com</w:t>
        </w:r>
      </w:hyperlink>
    </w:p>
    <w:p w14:paraId="57668741" w14:textId="77777777" w:rsidR="00C52373" w:rsidRDefault="00C52373" w:rsidP="00C52373">
      <w:r>
        <w:t xml:space="preserve">[7] </w:t>
      </w:r>
      <w:hyperlink r:id="rId54" w:history="1">
        <w:r>
          <w:rPr>
            <w:rStyle w:val="Hyperlink"/>
          </w:rPr>
          <w:t>https://link.springer.com</w:t>
        </w:r>
      </w:hyperlink>
    </w:p>
    <w:p w14:paraId="135FA527" w14:textId="77777777" w:rsidR="00C52373" w:rsidRDefault="00C52373" w:rsidP="00C52373">
      <w:r>
        <w:t xml:space="preserve">[8] </w:t>
      </w:r>
      <w:hyperlink r:id="rId55" w:history="1">
        <w:r>
          <w:rPr>
            <w:rStyle w:val="Hyperlink"/>
          </w:rPr>
          <w:t>https://www.theguardian.com</w:t>
        </w:r>
      </w:hyperlink>
    </w:p>
    <w:p w14:paraId="574F8928" w14:textId="77777777" w:rsidR="00C52373" w:rsidRDefault="00C52373" w:rsidP="00C52373">
      <w:r>
        <w:t xml:space="preserve">[9] </w:t>
      </w:r>
      <w:hyperlink r:id="rId56" w:history="1">
        <w:r>
          <w:rPr>
            <w:rStyle w:val="Hyperlink"/>
          </w:rPr>
          <w:t>https://www.liberties.eu</w:t>
        </w:r>
      </w:hyperlink>
    </w:p>
    <w:p w14:paraId="1B77B3DD" w14:textId="77777777" w:rsidR="00C52373" w:rsidRDefault="00C52373">
      <w:pPr>
        <w:rPr>
          <w:lang w:eastAsia="ko-KR"/>
        </w:rPr>
      </w:pPr>
    </w:p>
    <w:sectPr w:rsidR="00C523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270E6C"/>
    <w:multiLevelType w:val="multilevel"/>
    <w:tmpl w:val="DF704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CD683B"/>
    <w:multiLevelType w:val="multilevel"/>
    <w:tmpl w:val="D2242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CA2928"/>
    <w:multiLevelType w:val="multilevel"/>
    <w:tmpl w:val="61C40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900D8E"/>
    <w:multiLevelType w:val="multilevel"/>
    <w:tmpl w:val="534CE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CD13E5"/>
    <w:multiLevelType w:val="multilevel"/>
    <w:tmpl w:val="E2149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9A1F90"/>
    <w:multiLevelType w:val="multilevel"/>
    <w:tmpl w:val="3928F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FB2681"/>
    <w:multiLevelType w:val="multilevel"/>
    <w:tmpl w:val="A3D46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5760C2"/>
    <w:multiLevelType w:val="multilevel"/>
    <w:tmpl w:val="97726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9367F7"/>
    <w:multiLevelType w:val="multilevel"/>
    <w:tmpl w:val="5308F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2C4F99"/>
    <w:multiLevelType w:val="multilevel"/>
    <w:tmpl w:val="DB38A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F21042"/>
    <w:multiLevelType w:val="multilevel"/>
    <w:tmpl w:val="B8DA2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7E5B80"/>
    <w:multiLevelType w:val="multilevel"/>
    <w:tmpl w:val="14B02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250A65"/>
    <w:multiLevelType w:val="multilevel"/>
    <w:tmpl w:val="CC709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D86732"/>
    <w:multiLevelType w:val="multilevel"/>
    <w:tmpl w:val="67082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787DBA"/>
    <w:multiLevelType w:val="multilevel"/>
    <w:tmpl w:val="4C1EA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9FD0322"/>
    <w:multiLevelType w:val="multilevel"/>
    <w:tmpl w:val="D3785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F35EAE"/>
    <w:multiLevelType w:val="multilevel"/>
    <w:tmpl w:val="EEC0B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2B21A8"/>
    <w:multiLevelType w:val="multilevel"/>
    <w:tmpl w:val="CD3A9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E5104B"/>
    <w:multiLevelType w:val="multilevel"/>
    <w:tmpl w:val="5B4AA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902F70"/>
    <w:multiLevelType w:val="multilevel"/>
    <w:tmpl w:val="495CA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676E17"/>
    <w:multiLevelType w:val="multilevel"/>
    <w:tmpl w:val="9290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0490229">
    <w:abstractNumId w:val="5"/>
  </w:num>
  <w:num w:numId="2" w16cid:durableId="1079475358">
    <w:abstractNumId w:val="15"/>
  </w:num>
  <w:num w:numId="3" w16cid:durableId="1765221555">
    <w:abstractNumId w:val="2"/>
  </w:num>
  <w:num w:numId="4" w16cid:durableId="1022900731">
    <w:abstractNumId w:val="16"/>
  </w:num>
  <w:num w:numId="5" w16cid:durableId="1840459159">
    <w:abstractNumId w:val="1"/>
  </w:num>
  <w:num w:numId="6" w16cid:durableId="1575164418">
    <w:abstractNumId w:val="7"/>
  </w:num>
  <w:num w:numId="7" w16cid:durableId="1782915390">
    <w:abstractNumId w:val="19"/>
  </w:num>
  <w:num w:numId="8" w16cid:durableId="892888804">
    <w:abstractNumId w:val="0"/>
  </w:num>
  <w:num w:numId="9" w16cid:durableId="655307461">
    <w:abstractNumId w:val="8"/>
  </w:num>
  <w:num w:numId="10" w16cid:durableId="1879203313">
    <w:abstractNumId w:val="20"/>
  </w:num>
  <w:num w:numId="11" w16cid:durableId="83576863">
    <w:abstractNumId w:val="9"/>
  </w:num>
  <w:num w:numId="12" w16cid:durableId="839857716">
    <w:abstractNumId w:val="4"/>
  </w:num>
  <w:num w:numId="13" w16cid:durableId="1422137780">
    <w:abstractNumId w:val="3"/>
  </w:num>
  <w:num w:numId="14" w16cid:durableId="455486485">
    <w:abstractNumId w:val="13"/>
  </w:num>
  <w:num w:numId="15" w16cid:durableId="784732906">
    <w:abstractNumId w:val="14"/>
  </w:num>
  <w:num w:numId="16" w16cid:durableId="773866597">
    <w:abstractNumId w:val="18"/>
  </w:num>
  <w:num w:numId="17" w16cid:durableId="1953705194">
    <w:abstractNumId w:val="6"/>
  </w:num>
  <w:num w:numId="18" w16cid:durableId="1938056350">
    <w:abstractNumId w:val="10"/>
  </w:num>
  <w:num w:numId="19" w16cid:durableId="1915508316">
    <w:abstractNumId w:val="17"/>
  </w:num>
  <w:num w:numId="20" w16cid:durableId="118426931">
    <w:abstractNumId w:val="12"/>
  </w:num>
  <w:num w:numId="21" w16cid:durableId="976495515">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373"/>
    <w:rsid w:val="000436D3"/>
    <w:rsid w:val="0009333E"/>
    <w:rsid w:val="00191FA6"/>
    <w:rsid w:val="00295211"/>
    <w:rsid w:val="003F11F2"/>
    <w:rsid w:val="004F4C8C"/>
    <w:rsid w:val="00513D01"/>
    <w:rsid w:val="00857F93"/>
    <w:rsid w:val="00A03A9F"/>
    <w:rsid w:val="00B916B7"/>
    <w:rsid w:val="00C5237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E317BBC"/>
  <w15:chartTrackingRefBased/>
  <w15:docId w15:val="{503CED8A-7CB7-AF45-BEA3-7DB087C86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2373"/>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C523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523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23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23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23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237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237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237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237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23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523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23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23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23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23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23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23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2373"/>
    <w:rPr>
      <w:rFonts w:eastAsiaTheme="majorEastAsia" w:cstheme="majorBidi"/>
      <w:color w:val="272727" w:themeColor="text1" w:themeTint="D8"/>
    </w:rPr>
  </w:style>
  <w:style w:type="paragraph" w:styleId="Title">
    <w:name w:val="Title"/>
    <w:basedOn w:val="Normal"/>
    <w:next w:val="Normal"/>
    <w:link w:val="TitleChar"/>
    <w:uiPriority w:val="10"/>
    <w:qFormat/>
    <w:rsid w:val="00C5237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23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23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23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2373"/>
    <w:pPr>
      <w:spacing w:before="160"/>
      <w:jc w:val="center"/>
    </w:pPr>
    <w:rPr>
      <w:i/>
      <w:iCs/>
      <w:color w:val="404040" w:themeColor="text1" w:themeTint="BF"/>
    </w:rPr>
  </w:style>
  <w:style w:type="character" w:customStyle="1" w:styleId="QuoteChar">
    <w:name w:val="Quote Char"/>
    <w:basedOn w:val="DefaultParagraphFont"/>
    <w:link w:val="Quote"/>
    <w:uiPriority w:val="29"/>
    <w:rsid w:val="00C52373"/>
    <w:rPr>
      <w:i/>
      <w:iCs/>
      <w:color w:val="404040" w:themeColor="text1" w:themeTint="BF"/>
    </w:rPr>
  </w:style>
  <w:style w:type="paragraph" w:styleId="ListParagraph">
    <w:name w:val="List Paragraph"/>
    <w:basedOn w:val="Normal"/>
    <w:uiPriority w:val="34"/>
    <w:qFormat/>
    <w:rsid w:val="00C52373"/>
    <w:pPr>
      <w:ind w:left="720"/>
      <w:contextualSpacing/>
    </w:pPr>
  </w:style>
  <w:style w:type="character" w:styleId="IntenseEmphasis">
    <w:name w:val="Intense Emphasis"/>
    <w:basedOn w:val="DefaultParagraphFont"/>
    <w:uiPriority w:val="21"/>
    <w:qFormat/>
    <w:rsid w:val="00C52373"/>
    <w:rPr>
      <w:i/>
      <w:iCs/>
      <w:color w:val="0F4761" w:themeColor="accent1" w:themeShade="BF"/>
    </w:rPr>
  </w:style>
  <w:style w:type="paragraph" w:styleId="IntenseQuote">
    <w:name w:val="Intense Quote"/>
    <w:basedOn w:val="Normal"/>
    <w:next w:val="Normal"/>
    <w:link w:val="IntenseQuoteChar"/>
    <w:uiPriority w:val="30"/>
    <w:qFormat/>
    <w:rsid w:val="00C523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2373"/>
    <w:rPr>
      <w:i/>
      <w:iCs/>
      <w:color w:val="0F4761" w:themeColor="accent1" w:themeShade="BF"/>
    </w:rPr>
  </w:style>
  <w:style w:type="character" w:styleId="IntenseReference">
    <w:name w:val="Intense Reference"/>
    <w:basedOn w:val="DefaultParagraphFont"/>
    <w:uiPriority w:val="32"/>
    <w:qFormat/>
    <w:rsid w:val="00C52373"/>
    <w:rPr>
      <w:b/>
      <w:bCs/>
      <w:smallCaps/>
      <w:color w:val="0F4761" w:themeColor="accent1" w:themeShade="BF"/>
      <w:spacing w:val="5"/>
    </w:rPr>
  </w:style>
  <w:style w:type="character" w:styleId="Strong">
    <w:name w:val="Strong"/>
    <w:basedOn w:val="DefaultParagraphFont"/>
    <w:uiPriority w:val="22"/>
    <w:qFormat/>
    <w:rsid w:val="00C52373"/>
    <w:rPr>
      <w:b/>
      <w:bCs/>
    </w:rPr>
  </w:style>
  <w:style w:type="character" w:styleId="Hyperlink">
    <w:name w:val="Hyperlink"/>
    <w:basedOn w:val="DefaultParagraphFont"/>
    <w:uiPriority w:val="99"/>
    <w:semiHidden/>
    <w:unhideWhenUsed/>
    <w:rsid w:val="00C52373"/>
    <w:rPr>
      <w:color w:val="0000FF"/>
      <w:u w:val="single"/>
    </w:rPr>
  </w:style>
  <w:style w:type="paragraph" w:customStyle="1" w:styleId="z1qcye">
    <w:name w:val="z1qcye"/>
    <w:basedOn w:val="Normal"/>
    <w:rsid w:val="00C52373"/>
    <w:pPr>
      <w:spacing w:before="100" w:beforeAutospacing="1" w:after="100" w:afterAutospacing="1"/>
    </w:pPr>
  </w:style>
  <w:style w:type="character" w:customStyle="1" w:styleId="inqyif">
    <w:name w:val="inqyif"/>
    <w:basedOn w:val="DefaultParagraphFont"/>
    <w:rsid w:val="00C52373"/>
  </w:style>
  <w:style w:type="character" w:styleId="Emphasis">
    <w:name w:val="Emphasis"/>
    <w:basedOn w:val="DefaultParagraphFont"/>
    <w:uiPriority w:val="20"/>
    <w:qFormat/>
    <w:rsid w:val="00C52373"/>
    <w:rPr>
      <w:i/>
      <w:iCs/>
    </w:rPr>
  </w:style>
  <w:style w:type="character" w:styleId="FollowedHyperlink">
    <w:name w:val="FollowedHyperlink"/>
    <w:basedOn w:val="DefaultParagraphFont"/>
    <w:uiPriority w:val="99"/>
    <w:semiHidden/>
    <w:unhideWhenUsed/>
    <w:rsid w:val="00B916B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gress.gov/crs_external_products/R/PDF/R40750/R40750.26.pdf" TargetMode="External"/><Relationship Id="rId18" Type="http://schemas.openxmlformats.org/officeDocument/2006/relationships/hyperlink" Target="https://mcchr.org/facts/" TargetMode="External"/><Relationship Id="rId26" Type="http://schemas.openxmlformats.org/officeDocument/2006/relationships/hyperlink" Target="https://bernama.com/en/news.php?id=2560865" TargetMode="External"/><Relationship Id="rId39" Type="http://schemas.openxmlformats.org/officeDocument/2006/relationships/hyperlink" Target="https://www.google.com/search?q=Spain&amp;kgmid=/hkb/Cg4KCGxhbmd1YWdlEgJlbgoTCgR0eXBlEgtMT0NBTF9QTEFDRQoUCgtlbnRpdHlfbmFtZRIFc3BhaW4%3D" TargetMode="External"/><Relationship Id="rId21" Type="http://schemas.openxmlformats.org/officeDocument/2006/relationships/hyperlink" Target="https://suhakam.org.my/2026/01/" TargetMode="External"/><Relationship Id="rId34" Type="http://schemas.openxmlformats.org/officeDocument/2006/relationships/hyperlink" Target="https://en.vietnamplus.vn/malaysia-tightens-social-media-regulations-post343306.vnp" TargetMode="External"/><Relationship Id="rId42" Type="http://schemas.openxmlformats.org/officeDocument/2006/relationships/hyperlink" Target="https://www.google.com/search?kgmid=/m/0345h" TargetMode="External"/><Relationship Id="rId47" Type="http://schemas.openxmlformats.org/officeDocument/2006/relationships/hyperlink" Target="https://www.google.com/search?kgmid=/m/0345h" TargetMode="External"/><Relationship Id="rId50" Type="http://schemas.openxmlformats.org/officeDocument/2006/relationships/hyperlink" Target="https://www.wrc.org.uk/blog/elimination-of-stereotypes-article-5-cedaw" TargetMode="External"/><Relationship Id="rId55" Type="http://schemas.openxmlformats.org/officeDocument/2006/relationships/hyperlink" Target="https://www.theguardian.com/media/2017/jul/18/new-measures-announced-to-crack-down-on-sexist-adverts" TargetMode="External"/><Relationship Id="rId7" Type="http://schemas.openxmlformats.org/officeDocument/2006/relationships/hyperlink" Target="https://www.ohchr.org/en/treaty-bodies/cedaw/launch-cedaw-general-recommendation-no-35-gender-based-violence-against-women-updating-general" TargetMode="External"/><Relationship Id="rId2" Type="http://schemas.openxmlformats.org/officeDocument/2006/relationships/styles" Target="styles.xml"/><Relationship Id="rId16" Type="http://schemas.openxmlformats.org/officeDocument/2006/relationships/hyperlink" Target="https://www.justsecurity.org/138217/gendered-governance-digital-economies-asean/" TargetMode="External"/><Relationship Id="rId29" Type="http://schemas.openxmlformats.org/officeDocument/2006/relationships/hyperlink" Target="https://www.facebook.com/BernamaTV/posts/bernamanews-individuals-experiencing-online-sexual-harassment-can-now-seek-justi/1251600793798590/" TargetMode="External"/><Relationship Id="rId11" Type="http://schemas.openxmlformats.org/officeDocument/2006/relationships/hyperlink" Target="https://scholarlycommons.law.case.edu/cgi/viewcontent.cgi?article=1465&amp;context=jil" TargetMode="External"/><Relationship Id="rId24" Type="http://schemas.openxmlformats.org/officeDocument/2006/relationships/hyperlink" Target="https://www.roedl.com/en/insights/malaysia-online-safety-act-2025/" TargetMode="External"/><Relationship Id="rId32" Type="http://schemas.openxmlformats.org/officeDocument/2006/relationships/hyperlink" Target="https://www.scmp.com/week-asia/lifestyle-culture/article/3355496/malaysia-bars-under-16s-social-media-new-rules-come-force" TargetMode="External"/><Relationship Id="rId37" Type="http://schemas.openxmlformats.org/officeDocument/2006/relationships/hyperlink" Target="https://www.google.com/search?kgmid=/m/07ssc" TargetMode="External"/><Relationship Id="rId40" Type="http://schemas.openxmlformats.org/officeDocument/2006/relationships/hyperlink" Target="https://www.autocontrol.es/" TargetMode="External"/><Relationship Id="rId45" Type="http://schemas.openxmlformats.org/officeDocument/2006/relationships/hyperlink" Target="https://www.google.com/search?kgmid=/m/07ssc" TargetMode="External"/><Relationship Id="rId53" Type="http://schemas.openxmlformats.org/officeDocument/2006/relationships/hyperlink" Target="https://www.theguardian.com/media/2019/aug/14/first-ads-banned-for-contravening-gender-stereotyping-rules" TargetMode="External"/><Relationship Id="rId58" Type="http://schemas.openxmlformats.org/officeDocument/2006/relationships/theme" Target="theme/theme1.xml"/><Relationship Id="rId5" Type="http://schemas.openxmlformats.org/officeDocument/2006/relationships/hyperlink" Target="https://www.ohchr.org/en/treaty-bodies/cedaw" TargetMode="External"/><Relationship Id="rId19" Type="http://schemas.openxmlformats.org/officeDocument/2006/relationships/hyperlink" Target="https://www.jstor.org/content/oa_chapter_edited/10.1163/j.ctv2gjwv8q.16" TargetMode="External"/><Relationship Id="rId4" Type="http://schemas.openxmlformats.org/officeDocument/2006/relationships/webSettings" Target="webSettings.xml"/><Relationship Id="rId9" Type="http://schemas.openxmlformats.org/officeDocument/2006/relationships/hyperlink" Target="https://ifex.org/how-gender-impacts-on-free-speech/" TargetMode="External"/><Relationship Id="rId14" Type="http://schemas.openxmlformats.org/officeDocument/2006/relationships/hyperlink" Target="https://www.google.com/search?q=Malaysia&amp;kgmid=/hkb/Cg4KCGxhbmd1YWdlEgJlbgoTCgR0eXBlEgtMT0NBTF9QTEFDRQoXCgtlbnRpdHlfbmFtZRIIbWFsYXlzaWE%3D" TargetMode="External"/><Relationship Id="rId22" Type="http://schemas.openxmlformats.org/officeDocument/2006/relationships/hyperlink" Target="https://www.google.com/search?q=Malaysia&amp;kgmid=/hkb/Cg4KCGxhbmd1YWdlEgJlbgoTCgR0eXBlEgtMT0NBTF9QTEFDRQoXCgtlbnRpdHlfbmFtZRIIbWFsYXlzaWE%3D" TargetMode="External"/><Relationship Id="rId27" Type="http://schemas.openxmlformats.org/officeDocument/2006/relationships/hyperlink" Target="https://www.youtube.com/watch?v=oi93itXo8i8&amp;t=24" TargetMode="External"/><Relationship Id="rId30" Type="http://schemas.openxmlformats.org/officeDocument/2006/relationships/hyperlink" Target="https://www.facebook.com/BernamaTV/posts/bernamanews-individuals-experiencing-online-sexual-harassment-can-now-seek-justi/1251600793798590/" TargetMode="External"/><Relationship Id="rId35" Type="http://schemas.openxmlformats.org/officeDocument/2006/relationships/hyperlink" Target="https://www.malaymail.com/news/malaysia/2026/06/01/malaysias-new-online-safety-rules-kick-in-today-what-changes-for-social-media-users/221673" TargetMode="External"/><Relationship Id="rId43" Type="http://schemas.openxmlformats.org/officeDocument/2006/relationships/hyperlink" Target="https://www.google.com/search?kgmid=/m/0f8l9c" TargetMode="External"/><Relationship Id="rId48" Type="http://schemas.openxmlformats.org/officeDocument/2006/relationships/hyperlink" Target="https://www.ohchr.org/en/instruments-mechanisms/instruments/convention-elimination-all-forms-discrimination-against-women" TargetMode="External"/><Relationship Id="rId56" Type="http://schemas.openxmlformats.org/officeDocument/2006/relationships/hyperlink" Target="https://www.liberties.eu/en/stories/berlin-plans-to-ban-sexist-advertising-sn-19231/37940" TargetMode="External"/><Relationship Id="rId8" Type="http://schemas.openxmlformats.org/officeDocument/2006/relationships/hyperlink" Target="https://academic.oup.com/icon/article/10/2/512/666068" TargetMode="External"/><Relationship Id="rId51" Type="http://schemas.openxmlformats.org/officeDocument/2006/relationships/hyperlink" Target="https://www.media-diversity.org/the-great-british-ban-on-gender-stereotypes-in-adverts-censorship-or-a-step-in-the-right-direction/" TargetMode="External"/><Relationship Id="rId3" Type="http://schemas.openxmlformats.org/officeDocument/2006/relationships/settings" Target="settings.xml"/><Relationship Id="rId12" Type="http://schemas.openxmlformats.org/officeDocument/2006/relationships/hyperlink" Target="https://www.fawco.org/component/content/article?id=188&amp;Itemid=0" TargetMode="External"/><Relationship Id="rId17" Type="http://schemas.openxmlformats.org/officeDocument/2006/relationships/hyperlink" Target="https://elibrary.judiciary.gov.ph/thebookshelf/showdocs/1/68963" TargetMode="External"/><Relationship Id="rId25" Type="http://schemas.openxmlformats.org/officeDocument/2006/relationships/hyperlink" Target="https://cijmalaysia.net/wp-content/uploads/2025/06/A-Report-On-The-Malaysian-Media-Landscape-in-2024.pdf" TargetMode="External"/><Relationship Id="rId33" Type="http://schemas.openxmlformats.org/officeDocument/2006/relationships/hyperlink" Target="https://www.facebook.com/KLFoodnTravel/videos/malaysia-will-enforce-a-new-social-media-regulation-starting-1-june-2026-under-t/1311401797629362/" TargetMode="External"/><Relationship Id="rId38" Type="http://schemas.openxmlformats.org/officeDocument/2006/relationships/hyperlink" Target="https://www.asa.org.uk/" TargetMode="External"/><Relationship Id="rId46" Type="http://schemas.openxmlformats.org/officeDocument/2006/relationships/hyperlink" Target="https://www.google.com/search?q=Spain&amp;kgmid=/hkb/Cg4KCGxhbmd1YWdlEgJlbgoTCgR0eXBlEgtMT0NBTF9QTEFDRQoUCgtlbnRpdHlfbmFtZRIFc3BhaW4%3D" TargetMode="External"/><Relationship Id="rId20" Type="http://schemas.openxmlformats.org/officeDocument/2006/relationships/hyperlink" Target="https://suhakam.org.my/2026/03/media-statement-no-12-2026_suhakam-reaffirms-its-commitment-to-gender-equality-and-womens-rights-on-iwd-2026/" TargetMode="External"/><Relationship Id="rId41" Type="http://schemas.openxmlformats.org/officeDocument/2006/relationships/hyperlink" Target="https://www.google.com/search?kgmid=/m/0345h" TargetMode="External"/><Relationship Id="rId54" Type="http://schemas.openxmlformats.org/officeDocument/2006/relationships/hyperlink" Target="https://link.springer.com/chapter/10.1007/978-3-030-98072-6_11" TargetMode="External"/><Relationship Id="rId1" Type="http://schemas.openxmlformats.org/officeDocument/2006/relationships/numbering" Target="numbering.xml"/><Relationship Id="rId6" Type="http://schemas.openxmlformats.org/officeDocument/2006/relationships/hyperlink" Target="https://www.qil-qdi.org/regulation-of-online-gender-based-hate-speech-and-international-human-rights-law-current-status-and-challenges-2/" TargetMode="External"/><Relationship Id="rId15" Type="http://schemas.openxmlformats.org/officeDocument/2006/relationships/hyperlink" Target="https://familyfrontiers.org/document/88th-cedaw-session-malaysia-joint-ngo-report/" TargetMode="External"/><Relationship Id="rId23" Type="http://schemas.openxmlformats.org/officeDocument/2006/relationships/hyperlink" Target="https://www.ohchr.org/en/meeting-summaries/2024/05/examen-de-la-malaisie-devant-le-cedaw-tout-en-saluant-des-progres" TargetMode="External"/><Relationship Id="rId28" Type="http://schemas.openxmlformats.org/officeDocument/2006/relationships/hyperlink" Target="https://www.hsfkramer.com/notes/employment/2023-12/malaysia-anti-sexual-harassment-act-2022" TargetMode="External"/><Relationship Id="rId36" Type="http://schemas.openxmlformats.org/officeDocument/2006/relationships/hyperlink" Target="https://mcchr.org/2018/01/25/peopleact-faq/" TargetMode="External"/><Relationship Id="rId49" Type="http://schemas.openxmlformats.org/officeDocument/2006/relationships/hyperlink" Target="https://www.dw.com/en/uk-bans-ads-over-gender-stereotypes-in-landmark-ruling/a-50017637" TargetMode="External"/><Relationship Id="rId57" Type="http://schemas.openxmlformats.org/officeDocument/2006/relationships/fontTable" Target="fontTable.xml"/><Relationship Id="rId10" Type="http://schemas.openxmlformats.org/officeDocument/2006/relationships/hyperlink" Target="https://www.refworld.org/legal/general/cedaw/1997/39377" TargetMode="External"/><Relationship Id="rId31" Type="http://schemas.openxmlformats.org/officeDocument/2006/relationships/hyperlink" Target="https://womensmediacenter.com/fbomb/malaysian-lawmakers-pass-long-awaited-anti-sexual-harassment-bill" TargetMode="External"/><Relationship Id="rId44" Type="http://schemas.openxmlformats.org/officeDocument/2006/relationships/hyperlink" Target="https://www.google.com/search?kgmid=/m/0f8l9c" TargetMode="External"/><Relationship Id="rId52" Type="http://schemas.openxmlformats.org/officeDocument/2006/relationships/hyperlink" Target="https://www.marketingweek.com/sexist-stereotypes-ads-bann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38</TotalTime>
  <Pages>8</Pages>
  <Words>3533</Words>
  <Characters>21804</Characters>
  <Application>Microsoft Office Word</Application>
  <DocSecurity>0</DocSecurity>
  <Lines>495</Lines>
  <Paragraphs>214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ksparkskype ksparkskype</dc:creator>
  <cp:keywords/>
  <dc:description/>
  <cp:lastModifiedBy>ksparkskype ksparkskype</cp:lastModifiedBy>
  <cp:revision>2</cp:revision>
  <dcterms:created xsi:type="dcterms:W3CDTF">2026-09-05T21:16:00Z</dcterms:created>
  <dcterms:modified xsi:type="dcterms:W3CDTF">2026-09-09T00:03:00Z</dcterms:modified>
</cp:coreProperties>
</file>